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226896" w14:textId="63606EC7" w:rsidR="008720EB" w:rsidRPr="00E06931" w:rsidRDefault="00312FA8" w:rsidP="002F6CE5">
      <w:pPr>
        <w:ind w:left="2292" w:hanging="2292"/>
        <w:rPr>
          <w:lang w:val="en-US"/>
        </w:rPr>
      </w:pPr>
      <w:bookmarkStart w:id="0" w:name="_Toc209500354"/>
      <w:bookmarkStart w:id="1" w:name="_Toc219275270"/>
      <w:bookmarkStart w:id="2" w:name="_Toc219275340"/>
      <w:bookmarkStart w:id="3" w:name="_Toc219518985"/>
      <w:r w:rsidRPr="00E06931">
        <w:rPr>
          <w:lang w:val="en-US"/>
        </w:rPr>
        <w:t xml:space="preserve">SCORECARD  </w:t>
      </w:r>
      <w:r w:rsidR="00E06931" w:rsidRPr="00E06931">
        <w:rPr>
          <w:lang w:val="en-US"/>
        </w:rPr>
        <w:tab/>
      </w:r>
      <w:r w:rsidRPr="00E06931">
        <w:rPr>
          <w:lang w:val="en-US"/>
        </w:rPr>
        <w:t>U</w:t>
      </w:r>
      <w:r w:rsidR="00E06931" w:rsidRPr="00E06931">
        <w:rPr>
          <w:lang w:val="en-US"/>
        </w:rPr>
        <w:t xml:space="preserve">nited </w:t>
      </w:r>
      <w:r w:rsidRPr="00E06931">
        <w:rPr>
          <w:lang w:val="en-US"/>
        </w:rPr>
        <w:t>N</w:t>
      </w:r>
      <w:r w:rsidR="00E06931" w:rsidRPr="00E06931">
        <w:rPr>
          <w:lang w:val="en-US"/>
        </w:rPr>
        <w:t>ation</w:t>
      </w:r>
      <w:r w:rsidR="00DE0771">
        <w:rPr>
          <w:lang w:val="en-US"/>
        </w:rPr>
        <w:t>s</w:t>
      </w:r>
      <w:r w:rsidR="00E06931" w:rsidRPr="00E06931">
        <w:rPr>
          <w:lang w:val="en-US"/>
        </w:rPr>
        <w:t xml:space="preserve"> </w:t>
      </w:r>
      <w:r w:rsidRPr="00E06931">
        <w:rPr>
          <w:lang w:val="en-US"/>
        </w:rPr>
        <w:t>O</w:t>
      </w:r>
      <w:r w:rsidR="00E06931" w:rsidRPr="00E06931">
        <w:rPr>
          <w:lang w:val="en-US"/>
        </w:rPr>
        <w:t xml:space="preserve">ffice on </w:t>
      </w:r>
      <w:r w:rsidRPr="00E06931">
        <w:rPr>
          <w:lang w:val="en-US"/>
        </w:rPr>
        <w:t>D</w:t>
      </w:r>
      <w:r w:rsidR="00E06931" w:rsidRPr="00E06931">
        <w:rPr>
          <w:lang w:val="en-US"/>
        </w:rPr>
        <w:t xml:space="preserve">rugs and </w:t>
      </w:r>
      <w:r w:rsidRPr="00E06931">
        <w:rPr>
          <w:lang w:val="en-US"/>
        </w:rPr>
        <w:t>C</w:t>
      </w:r>
      <w:r w:rsidR="00E06931">
        <w:rPr>
          <w:lang w:val="en-US"/>
        </w:rPr>
        <w:t>rime</w:t>
      </w:r>
      <w:r w:rsidR="006E1D70">
        <w:rPr>
          <w:lang w:val="en-US"/>
        </w:rPr>
        <w:t xml:space="preserve"> (UNODC)</w:t>
      </w:r>
    </w:p>
    <w:p w14:paraId="273CA2CC" w14:textId="77777777" w:rsidR="008720EB" w:rsidRPr="00E06931" w:rsidRDefault="008720EB" w:rsidP="002F6CE5">
      <w:pPr>
        <w:ind w:left="2292" w:hanging="2292"/>
        <w:rPr>
          <w:lang w:val="en-US"/>
        </w:rPr>
      </w:pPr>
    </w:p>
    <w:p w14:paraId="650F4250" w14:textId="3C54D9F9" w:rsidR="002F6CE5" w:rsidRPr="00785F18" w:rsidRDefault="005A1763" w:rsidP="000537C6">
      <w:pPr>
        <w:ind w:left="2292" w:hanging="2292"/>
      </w:pPr>
      <w:fldSimple w:instr=" DOCPROPERTY  L_CONTACT  \* MERGEFORMAT ">
        <w:r w:rsidR="00323C89">
          <w:t>Opgesteld door</w:t>
        </w:r>
      </w:fldSimple>
      <w:r w:rsidR="002F6CE5" w:rsidRPr="00785F18">
        <w:tab/>
      </w:r>
      <w:r w:rsidR="003A65E8">
        <w:t xml:space="preserve">Directie </w:t>
      </w:r>
      <w:r w:rsidR="00033C56">
        <w:t>Veiligheidsbel</w:t>
      </w:r>
      <w:r w:rsidR="00E06931">
        <w:t>eid – Terrorismebestrijding en Nationale V</w:t>
      </w:r>
      <w:r w:rsidR="00033C56">
        <w:t>eiligheid</w:t>
      </w:r>
      <w:r w:rsidR="000D4815">
        <w:t xml:space="preserve"> </w:t>
      </w:r>
      <w:r w:rsidR="00E06931">
        <w:t xml:space="preserve"> </w:t>
      </w:r>
    </w:p>
    <w:tbl>
      <w:tblPr>
        <w:tblW w:w="0" w:type="auto"/>
        <w:tblLook w:val="01E0" w:firstRow="1" w:lastRow="1" w:firstColumn="1" w:lastColumn="1" w:noHBand="0" w:noVBand="0"/>
      </w:tblPr>
      <w:tblGrid>
        <w:gridCol w:w="2249"/>
        <w:gridCol w:w="5477"/>
      </w:tblGrid>
      <w:tr w:rsidR="002F6CE5" w:rsidRPr="00785F18" w14:paraId="0198A752" w14:textId="77777777" w:rsidTr="000537C6">
        <w:tc>
          <w:tcPr>
            <w:tcW w:w="2249" w:type="dxa"/>
            <w:shd w:val="clear" w:color="auto" w:fill="auto"/>
          </w:tcPr>
          <w:p w14:paraId="7CA7E5D6" w14:textId="77777777" w:rsidR="000537C6" w:rsidRDefault="000537C6" w:rsidP="00221806"/>
          <w:p w14:paraId="4B05A577" w14:textId="78C27947" w:rsidR="002F6CE5" w:rsidRPr="00785F18" w:rsidRDefault="00CB063E" w:rsidP="00B20185">
            <w:r>
              <w:fldChar w:fldCharType="begin"/>
            </w:r>
            <w:r w:rsidR="0044259F">
              <w:instrText xml:space="preserve"> DOCPROPERTY  L_AUTHOR  \* MERGEFORMAT </w:instrText>
            </w:r>
            <w:r>
              <w:fldChar w:fldCharType="separate"/>
            </w:r>
            <w:r w:rsidR="00323C89">
              <w:t>Redacteuren:</w:t>
            </w:r>
            <w:r>
              <w:fldChar w:fldCharType="end"/>
            </w:r>
          </w:p>
        </w:tc>
        <w:tc>
          <w:tcPr>
            <w:tcW w:w="5477" w:type="dxa"/>
            <w:shd w:val="clear" w:color="auto" w:fill="auto"/>
          </w:tcPr>
          <w:p w14:paraId="49E65C2D" w14:textId="77777777" w:rsidR="000537C6" w:rsidRDefault="000537C6" w:rsidP="00033C56"/>
          <w:p w14:paraId="2D341B25" w14:textId="7BEA70EE" w:rsidR="00033C56" w:rsidRDefault="00033C56" w:rsidP="00033C56">
            <w:r>
              <w:t>Nicole Hoornweg</w:t>
            </w:r>
            <w:r w:rsidR="006E1D70">
              <w:t xml:space="preserve"> &amp; </w:t>
            </w:r>
            <w:r w:rsidR="007470F8">
              <w:t>Wietze Si</w:t>
            </w:r>
            <w:r w:rsidR="002376BE">
              <w:t>j</w:t>
            </w:r>
            <w:r w:rsidR="00312FA8">
              <w:t>tsm</w:t>
            </w:r>
            <w:r w:rsidR="007470F8">
              <w:t>a</w:t>
            </w:r>
          </w:p>
          <w:p w14:paraId="4AB61736" w14:textId="14D7567D" w:rsidR="002F6CE5" w:rsidRPr="00785F18" w:rsidRDefault="000537C6" w:rsidP="000537C6">
            <w:r>
              <w:t>A</w:t>
            </w:r>
            <w:r w:rsidR="00F73DEC">
              <w:t>fgestemd met</w:t>
            </w:r>
            <w:r w:rsidR="00587721">
              <w:t xml:space="preserve"> </w:t>
            </w:r>
            <w:r w:rsidR="005425A7">
              <w:t xml:space="preserve">DSO, </w:t>
            </w:r>
            <w:r w:rsidR="00587721">
              <w:t>DMM</w:t>
            </w:r>
            <w:r w:rsidR="007E71F3">
              <w:t xml:space="preserve">, </w:t>
            </w:r>
            <w:r w:rsidR="003543B9">
              <w:t xml:space="preserve">Min </w:t>
            </w:r>
            <w:r w:rsidR="007E71F3">
              <w:t>VWS</w:t>
            </w:r>
            <w:r w:rsidR="00312FA8">
              <w:t xml:space="preserve">, Min </w:t>
            </w:r>
            <w:proofErr w:type="spellStart"/>
            <w:r w:rsidR="00312FA8">
              <w:t>VenJ</w:t>
            </w:r>
            <w:proofErr w:type="spellEnd"/>
            <w:r w:rsidR="000D4815">
              <w:t>, PV Wenen</w:t>
            </w:r>
          </w:p>
        </w:tc>
      </w:tr>
    </w:tbl>
    <w:p w14:paraId="48B658EF" w14:textId="77777777" w:rsidR="00991C2E" w:rsidRDefault="00991C2E" w:rsidP="00991C2E"/>
    <w:p w14:paraId="1E64A846" w14:textId="77777777" w:rsidR="00991C2E" w:rsidRDefault="00991C2E" w:rsidP="00991C2E"/>
    <w:p w14:paraId="24298A14" w14:textId="77777777" w:rsidR="00991C2E" w:rsidRDefault="00991C2E" w:rsidP="00991C2E"/>
    <w:p w14:paraId="0755EB9C" w14:textId="77777777" w:rsidR="005E17A4" w:rsidRDefault="005E17A4" w:rsidP="005E17A4">
      <w:pPr>
        <w:spacing w:line="240" w:lineRule="auto"/>
      </w:pPr>
    </w:p>
    <w:p w14:paraId="1D0AB65A" w14:textId="77777777" w:rsidR="005E17A4" w:rsidRPr="00651DC0" w:rsidRDefault="005E17A4" w:rsidP="005E17A4">
      <w:pPr>
        <w:spacing w:line="240" w:lineRule="auto"/>
        <w:rPr>
          <w:szCs w:val="22"/>
        </w:rPr>
      </w:pPr>
    </w:p>
    <w:p w14:paraId="1C255D10" w14:textId="77777777" w:rsidR="00326699" w:rsidRDefault="00326699" w:rsidP="00326699">
      <w:pPr>
        <w:spacing w:line="240" w:lineRule="auto"/>
      </w:pPr>
    </w:p>
    <w:p w14:paraId="345F8668" w14:textId="77777777" w:rsidR="00326699" w:rsidRDefault="00326699" w:rsidP="00326699">
      <w:pPr>
        <w:spacing w:line="240" w:lineRule="auto"/>
      </w:pPr>
    </w:p>
    <w:p w14:paraId="3DA7CBB6" w14:textId="77777777" w:rsidR="00326699" w:rsidRDefault="00326699" w:rsidP="00326699">
      <w:pPr>
        <w:spacing w:line="240" w:lineRule="auto"/>
        <w:sectPr w:rsidR="00326699" w:rsidSect="007D6565">
          <w:headerReference w:type="even" r:id="rId11"/>
          <w:headerReference w:type="default" r:id="rId12"/>
          <w:footerReference w:type="even" r:id="rId13"/>
          <w:footerReference w:type="default" r:id="rId14"/>
          <w:headerReference w:type="first" r:id="rId15"/>
          <w:footerReference w:type="first" r:id="rId16"/>
          <w:pgSz w:w="11906" w:h="16838" w:code="9"/>
          <w:pgMar w:top="2520" w:right="960" w:bottom="1080" w:left="3220" w:header="200" w:footer="660" w:gutter="0"/>
          <w:cols w:space="708"/>
          <w:titlePg/>
          <w:docGrid w:linePitch="360"/>
        </w:sectPr>
      </w:pPr>
    </w:p>
    <w:bookmarkEnd w:id="0"/>
    <w:bookmarkEnd w:id="1"/>
    <w:bookmarkEnd w:id="2"/>
    <w:bookmarkEnd w:id="3"/>
    <w:p w14:paraId="24027D97" w14:textId="77777777" w:rsidR="00A908F9" w:rsidRDefault="00A908F9" w:rsidP="00A908F9">
      <w:pPr>
        <w:pStyle w:val="Kop-Inhoudsopgave"/>
      </w:pPr>
    </w:p>
    <w:p w14:paraId="6351D949" w14:textId="77777777" w:rsidR="00A908F9" w:rsidRDefault="00A908F9" w:rsidP="00A908F9">
      <w:pPr>
        <w:pStyle w:val="Kop-Inhoudsopgave"/>
      </w:pPr>
    </w:p>
    <w:p w14:paraId="2043E218" w14:textId="442FFEDF" w:rsidR="00A908F9" w:rsidRDefault="008720EB" w:rsidP="00A908F9">
      <w:pPr>
        <w:pStyle w:val="Kop-Inhoudsopgave"/>
      </w:pPr>
      <w:r>
        <w:br w:type="page"/>
      </w:r>
      <w:r w:rsidR="00CB063E">
        <w:lastRenderedPageBreak/>
        <w:fldChar w:fldCharType="begin"/>
      </w:r>
      <w:r w:rsidR="00B55F0D">
        <w:instrText xml:space="preserve"> DOCPROPERTY  L_TOC  \* MERGEFORMAT </w:instrText>
      </w:r>
      <w:r w:rsidR="00CB063E">
        <w:fldChar w:fldCharType="separate"/>
      </w:r>
      <w:bookmarkStart w:id="8" w:name="_Toc287446465"/>
      <w:bookmarkStart w:id="9" w:name="_Toc287454445"/>
      <w:bookmarkStart w:id="10" w:name="_Toc479602596"/>
      <w:bookmarkStart w:id="11" w:name="_Toc491442778"/>
      <w:r w:rsidR="00323C89">
        <w:t>Inhoudsopgave</w:t>
      </w:r>
      <w:bookmarkEnd w:id="8"/>
      <w:bookmarkEnd w:id="9"/>
      <w:bookmarkEnd w:id="10"/>
      <w:bookmarkEnd w:id="11"/>
      <w:r w:rsidR="00CB063E">
        <w:fldChar w:fldCharType="end"/>
      </w:r>
    </w:p>
    <w:p w14:paraId="0D1CB7AC" w14:textId="03EB22F7" w:rsidR="000425F7" w:rsidRDefault="00CB063E">
      <w:pPr>
        <w:pStyle w:val="TOC1"/>
        <w:tabs>
          <w:tab w:val="right" w:leader="dot" w:pos="7716"/>
        </w:tabs>
        <w:rPr>
          <w:rFonts w:asciiTheme="minorHAnsi" w:eastAsiaTheme="minorEastAsia" w:hAnsiTheme="minorHAnsi" w:cstheme="minorBidi"/>
          <w:noProof/>
          <w:sz w:val="22"/>
          <w:szCs w:val="22"/>
        </w:rPr>
      </w:pPr>
      <w:r w:rsidRPr="00785F18">
        <w:fldChar w:fldCharType="begin"/>
      </w:r>
      <w:r w:rsidR="00F73DEC" w:rsidRPr="00785F18">
        <w:instrText xml:space="preserve"> TOC \t "Heading 1;2;Heading 2;3;Heading 3;4;Kop-Inhoudsopgave;1;Kop zonder nummering;1;Subtitle;2;Title;1" </w:instrText>
      </w:r>
      <w:r w:rsidRPr="00785F18">
        <w:fldChar w:fldCharType="separate"/>
      </w:r>
      <w:r w:rsidR="000425F7">
        <w:rPr>
          <w:noProof/>
        </w:rPr>
        <w:t>Inhoudsopgave</w:t>
      </w:r>
      <w:r w:rsidR="000425F7">
        <w:rPr>
          <w:noProof/>
        </w:rPr>
        <w:tab/>
      </w:r>
      <w:r w:rsidR="000425F7">
        <w:rPr>
          <w:noProof/>
        </w:rPr>
        <w:fldChar w:fldCharType="begin"/>
      </w:r>
      <w:r w:rsidR="000425F7">
        <w:rPr>
          <w:noProof/>
        </w:rPr>
        <w:instrText xml:space="preserve"> PAGEREF _Toc491442778 \h </w:instrText>
      </w:r>
      <w:r w:rsidR="000425F7">
        <w:rPr>
          <w:noProof/>
        </w:rPr>
      </w:r>
      <w:r w:rsidR="000425F7">
        <w:rPr>
          <w:noProof/>
        </w:rPr>
        <w:fldChar w:fldCharType="separate"/>
      </w:r>
      <w:r w:rsidR="000425F7">
        <w:rPr>
          <w:noProof/>
        </w:rPr>
        <w:t>2</w:t>
      </w:r>
      <w:r w:rsidR="000425F7">
        <w:rPr>
          <w:noProof/>
        </w:rPr>
        <w:fldChar w:fldCharType="end"/>
      </w:r>
    </w:p>
    <w:p w14:paraId="21BEEF45" w14:textId="7FD60339" w:rsidR="000425F7" w:rsidRDefault="000425F7">
      <w:pPr>
        <w:pStyle w:val="TOC2"/>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Samenvatting</w:t>
      </w:r>
      <w:r>
        <w:tab/>
      </w:r>
      <w:r>
        <w:fldChar w:fldCharType="begin"/>
      </w:r>
      <w:r>
        <w:instrText xml:space="preserve"> PAGEREF _Toc491442779 \h </w:instrText>
      </w:r>
      <w:r>
        <w:fldChar w:fldCharType="separate"/>
      </w:r>
      <w:r>
        <w:t>3</w:t>
      </w:r>
      <w:r>
        <w:fldChar w:fldCharType="end"/>
      </w:r>
    </w:p>
    <w:p w14:paraId="34EDDCDE" w14:textId="2F56B9F5" w:rsidR="000425F7" w:rsidRDefault="000425F7">
      <w:pPr>
        <w:pStyle w:val="TOC3"/>
        <w:rPr>
          <w:rFonts w:asciiTheme="minorHAnsi" w:eastAsiaTheme="minorEastAsia" w:hAnsiTheme="minorHAnsi" w:cstheme="minorBidi"/>
          <w:sz w:val="22"/>
          <w:szCs w:val="22"/>
        </w:rPr>
      </w:pPr>
      <w:r>
        <w:t xml:space="preserve">1.1 </w:t>
      </w:r>
      <w:r>
        <w:rPr>
          <w:rFonts w:asciiTheme="minorHAnsi" w:eastAsiaTheme="minorEastAsia" w:hAnsiTheme="minorHAnsi" w:cstheme="minorBidi"/>
          <w:sz w:val="22"/>
          <w:szCs w:val="22"/>
        </w:rPr>
        <w:tab/>
      </w:r>
      <w:r>
        <w:t>Institutionele aspecten en functioneren</w:t>
      </w:r>
      <w:r>
        <w:tab/>
      </w:r>
      <w:r>
        <w:fldChar w:fldCharType="begin"/>
      </w:r>
      <w:r>
        <w:instrText xml:space="preserve"> PAGEREF _Toc491442780 \h </w:instrText>
      </w:r>
      <w:r>
        <w:fldChar w:fldCharType="separate"/>
      </w:r>
      <w:r>
        <w:t>3</w:t>
      </w:r>
      <w:r>
        <w:fldChar w:fldCharType="end"/>
      </w:r>
    </w:p>
    <w:p w14:paraId="243F1055" w14:textId="11CF6720" w:rsidR="000425F7" w:rsidRDefault="000425F7">
      <w:pPr>
        <w:pStyle w:val="TOC3"/>
        <w:rPr>
          <w:rFonts w:asciiTheme="minorHAnsi" w:eastAsiaTheme="minorEastAsia" w:hAnsiTheme="minorHAnsi" w:cstheme="minorBidi"/>
          <w:sz w:val="22"/>
          <w:szCs w:val="22"/>
        </w:rPr>
      </w:pPr>
      <w:r>
        <w:t xml:space="preserve">1.2 </w:t>
      </w:r>
      <w:r>
        <w:rPr>
          <w:rFonts w:asciiTheme="minorHAnsi" w:eastAsiaTheme="minorEastAsia" w:hAnsiTheme="minorHAnsi" w:cstheme="minorBidi"/>
          <w:sz w:val="22"/>
          <w:szCs w:val="22"/>
        </w:rPr>
        <w:tab/>
      </w:r>
      <w:r>
        <w:t>Beleidsrelevantie</w:t>
      </w:r>
      <w:r>
        <w:tab/>
      </w:r>
      <w:r>
        <w:fldChar w:fldCharType="begin"/>
      </w:r>
      <w:r>
        <w:instrText xml:space="preserve"> PAGEREF _Toc491442781 \h </w:instrText>
      </w:r>
      <w:r>
        <w:fldChar w:fldCharType="separate"/>
      </w:r>
      <w:r>
        <w:t>4</w:t>
      </w:r>
      <w:r>
        <w:fldChar w:fldCharType="end"/>
      </w:r>
    </w:p>
    <w:p w14:paraId="226264FF" w14:textId="223F7286" w:rsidR="000425F7" w:rsidRDefault="000425F7">
      <w:pPr>
        <w:pStyle w:val="TOC2"/>
        <w:rPr>
          <w:rFonts w:asciiTheme="minorHAnsi" w:eastAsiaTheme="minorEastAsia" w:hAnsiTheme="minorHAnsi" w:cstheme="minorBidi"/>
          <w:b w:val="0"/>
          <w:sz w:val="22"/>
          <w:szCs w:val="22"/>
        </w:rPr>
      </w:pPr>
      <w:r>
        <w:t xml:space="preserve">2 </w:t>
      </w:r>
      <w:r>
        <w:rPr>
          <w:rFonts w:asciiTheme="minorHAnsi" w:eastAsiaTheme="minorEastAsia" w:hAnsiTheme="minorHAnsi" w:cstheme="minorBidi"/>
          <w:b w:val="0"/>
          <w:sz w:val="22"/>
          <w:szCs w:val="22"/>
        </w:rPr>
        <w:tab/>
      </w:r>
      <w:r>
        <w:t>Inleiding</w:t>
      </w:r>
      <w:r>
        <w:tab/>
      </w:r>
      <w:r>
        <w:fldChar w:fldCharType="begin"/>
      </w:r>
      <w:r>
        <w:instrText xml:space="preserve"> PAGEREF _Toc491442782 \h </w:instrText>
      </w:r>
      <w:r>
        <w:fldChar w:fldCharType="separate"/>
      </w:r>
      <w:r>
        <w:t>5</w:t>
      </w:r>
      <w:r>
        <w:fldChar w:fldCharType="end"/>
      </w:r>
    </w:p>
    <w:p w14:paraId="33C9557E" w14:textId="024E9B93" w:rsidR="000425F7" w:rsidRDefault="000425F7">
      <w:pPr>
        <w:pStyle w:val="TOC2"/>
        <w:rPr>
          <w:rFonts w:asciiTheme="minorHAnsi" w:eastAsiaTheme="minorEastAsia" w:hAnsiTheme="minorHAnsi" w:cstheme="minorBidi"/>
          <w:b w:val="0"/>
          <w:sz w:val="22"/>
          <w:szCs w:val="22"/>
        </w:rPr>
      </w:pPr>
      <w:r>
        <w:t xml:space="preserve">3 </w:t>
      </w:r>
      <w:r>
        <w:rPr>
          <w:rFonts w:asciiTheme="minorHAnsi" w:eastAsiaTheme="minorEastAsia" w:hAnsiTheme="minorHAnsi" w:cstheme="minorBidi"/>
          <w:b w:val="0"/>
          <w:sz w:val="22"/>
          <w:szCs w:val="22"/>
        </w:rPr>
        <w:tab/>
      </w:r>
      <w:r>
        <w:t>Algemene achtergrond</w:t>
      </w:r>
      <w:r>
        <w:tab/>
      </w:r>
      <w:r>
        <w:fldChar w:fldCharType="begin"/>
      </w:r>
      <w:r>
        <w:instrText xml:space="preserve"> PAGEREF _Toc491442783 \h </w:instrText>
      </w:r>
      <w:r>
        <w:fldChar w:fldCharType="separate"/>
      </w:r>
      <w:r>
        <w:t>6</w:t>
      </w:r>
      <w:r>
        <w:fldChar w:fldCharType="end"/>
      </w:r>
    </w:p>
    <w:p w14:paraId="4DE187DB" w14:textId="42E3EEC5" w:rsidR="000425F7" w:rsidRDefault="000425F7">
      <w:pPr>
        <w:pStyle w:val="TOC3"/>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Doelstelling en toegevoegde waarde</w:t>
      </w:r>
      <w:r>
        <w:tab/>
      </w:r>
      <w:r>
        <w:fldChar w:fldCharType="begin"/>
      </w:r>
      <w:r>
        <w:instrText xml:space="preserve"> PAGEREF _Toc491442784 \h </w:instrText>
      </w:r>
      <w:r>
        <w:fldChar w:fldCharType="separate"/>
      </w:r>
      <w:r>
        <w:t>6</w:t>
      </w:r>
      <w:r>
        <w:fldChar w:fldCharType="end"/>
      </w:r>
    </w:p>
    <w:p w14:paraId="6025C887" w14:textId="180A9EE4" w:rsidR="000425F7" w:rsidRDefault="000425F7">
      <w:pPr>
        <w:pStyle w:val="TOC3"/>
        <w:rPr>
          <w:rFonts w:asciiTheme="minorHAnsi" w:eastAsiaTheme="minorEastAsia" w:hAnsiTheme="minorHAnsi" w:cstheme="minorBidi"/>
          <w:sz w:val="22"/>
          <w:szCs w:val="22"/>
        </w:rPr>
      </w:pPr>
      <w:r>
        <w:t>3.2              Organisatie, werkwijze en activiteiten</w:t>
      </w:r>
      <w:r>
        <w:tab/>
      </w:r>
      <w:r>
        <w:fldChar w:fldCharType="begin"/>
      </w:r>
      <w:r>
        <w:instrText xml:space="preserve"> PAGEREF _Toc491442785 \h </w:instrText>
      </w:r>
      <w:r>
        <w:fldChar w:fldCharType="separate"/>
      </w:r>
      <w:r>
        <w:t>6</w:t>
      </w:r>
      <w:r>
        <w:fldChar w:fldCharType="end"/>
      </w:r>
    </w:p>
    <w:p w14:paraId="248AD96F" w14:textId="666617DE" w:rsidR="000425F7" w:rsidRDefault="000425F7">
      <w:pPr>
        <w:pStyle w:val="TOC3"/>
        <w:rPr>
          <w:rFonts w:asciiTheme="minorHAnsi" w:eastAsiaTheme="minorEastAsia" w:hAnsiTheme="minorHAnsi" w:cstheme="minorBidi"/>
          <w:sz w:val="22"/>
          <w:szCs w:val="22"/>
        </w:rPr>
      </w:pPr>
      <w:r>
        <w:t xml:space="preserve">3.3 </w:t>
      </w:r>
      <w:r>
        <w:rPr>
          <w:rFonts w:asciiTheme="minorHAnsi" w:eastAsiaTheme="minorEastAsia" w:hAnsiTheme="minorHAnsi" w:cstheme="minorBidi"/>
          <w:sz w:val="22"/>
          <w:szCs w:val="22"/>
        </w:rPr>
        <w:tab/>
      </w:r>
      <w:r>
        <w:t>Nederlandse rol en invloed</w:t>
      </w:r>
      <w:r>
        <w:tab/>
      </w:r>
      <w:r>
        <w:fldChar w:fldCharType="begin"/>
      </w:r>
      <w:r>
        <w:instrText xml:space="preserve"> PAGEREF _Toc491442786 \h </w:instrText>
      </w:r>
      <w:r>
        <w:fldChar w:fldCharType="separate"/>
      </w:r>
      <w:r>
        <w:t>7</w:t>
      </w:r>
      <w:r>
        <w:fldChar w:fldCharType="end"/>
      </w:r>
    </w:p>
    <w:p w14:paraId="7DC42A7F" w14:textId="162BBED1" w:rsidR="000425F7" w:rsidRDefault="000425F7">
      <w:pPr>
        <w:pStyle w:val="TOC3"/>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Financiële omvang en bijdragen</w:t>
      </w:r>
      <w:r>
        <w:tab/>
      </w:r>
      <w:r>
        <w:fldChar w:fldCharType="begin"/>
      </w:r>
      <w:r>
        <w:instrText xml:space="preserve"> PAGEREF _Toc491442787 \h </w:instrText>
      </w:r>
      <w:r>
        <w:fldChar w:fldCharType="separate"/>
      </w:r>
      <w:r>
        <w:t>8</w:t>
      </w:r>
      <w:r>
        <w:fldChar w:fldCharType="end"/>
      </w:r>
    </w:p>
    <w:p w14:paraId="699F4CA9" w14:textId="4E24630A" w:rsidR="000425F7" w:rsidRDefault="000425F7">
      <w:pPr>
        <w:pStyle w:val="TOC2"/>
        <w:rPr>
          <w:rFonts w:asciiTheme="minorHAnsi" w:eastAsiaTheme="minorEastAsia" w:hAnsiTheme="minorHAnsi" w:cstheme="minorBidi"/>
          <w:b w:val="0"/>
          <w:sz w:val="22"/>
          <w:szCs w:val="22"/>
        </w:rPr>
      </w:pPr>
      <w:r>
        <w:t xml:space="preserve">4 </w:t>
      </w:r>
      <w:r>
        <w:rPr>
          <w:rFonts w:asciiTheme="minorHAnsi" w:eastAsiaTheme="minorEastAsia" w:hAnsiTheme="minorHAnsi" w:cstheme="minorBidi"/>
          <w:b w:val="0"/>
          <w:sz w:val="22"/>
          <w:szCs w:val="22"/>
        </w:rPr>
        <w:tab/>
      </w:r>
      <w:r>
        <w:t>Institutionele aspecten en functioneren van de organisatie</w:t>
      </w:r>
      <w:r>
        <w:tab/>
      </w:r>
      <w:r>
        <w:fldChar w:fldCharType="begin"/>
      </w:r>
      <w:r>
        <w:instrText xml:space="preserve"> PAGEREF _Toc491442788 \h </w:instrText>
      </w:r>
      <w:r>
        <w:fldChar w:fldCharType="separate"/>
      </w:r>
      <w:r>
        <w:t>11</w:t>
      </w:r>
      <w:r>
        <w:fldChar w:fldCharType="end"/>
      </w:r>
    </w:p>
    <w:p w14:paraId="1F4CD96C" w14:textId="0CC7F051" w:rsidR="000425F7" w:rsidRDefault="000425F7">
      <w:pPr>
        <w:pStyle w:val="TOC3"/>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Strategie en verantwoording</w:t>
      </w:r>
      <w:r>
        <w:tab/>
      </w:r>
      <w:r>
        <w:fldChar w:fldCharType="begin"/>
      </w:r>
      <w:r>
        <w:instrText xml:space="preserve"> PAGEREF _Toc491442789 \h </w:instrText>
      </w:r>
      <w:r>
        <w:fldChar w:fldCharType="separate"/>
      </w:r>
      <w:r>
        <w:t>11</w:t>
      </w:r>
      <w:r>
        <w:fldChar w:fldCharType="end"/>
      </w:r>
    </w:p>
    <w:p w14:paraId="623DB888" w14:textId="626B8B76" w:rsidR="000425F7" w:rsidRDefault="000425F7">
      <w:pPr>
        <w:pStyle w:val="TOC3"/>
        <w:rPr>
          <w:rFonts w:asciiTheme="minorHAnsi" w:eastAsiaTheme="minorEastAsia" w:hAnsiTheme="minorHAnsi" w:cstheme="minorBidi"/>
          <w:sz w:val="22"/>
          <w:szCs w:val="22"/>
        </w:rPr>
      </w:pPr>
      <w:r w:rsidRPr="000425F7">
        <w:t>4.2</w:t>
      </w:r>
      <w:r>
        <w:rPr>
          <w:rFonts w:asciiTheme="minorHAnsi" w:eastAsiaTheme="minorEastAsia" w:hAnsiTheme="minorHAnsi" w:cstheme="minorBidi"/>
          <w:sz w:val="22"/>
          <w:szCs w:val="22"/>
        </w:rPr>
        <w:tab/>
      </w:r>
      <w:r w:rsidRPr="000425F7">
        <w:t>Resultaatgerichtheid en transparantie</w:t>
      </w:r>
      <w:r>
        <w:tab/>
      </w:r>
      <w:r>
        <w:fldChar w:fldCharType="begin"/>
      </w:r>
      <w:r>
        <w:instrText xml:space="preserve"> PAGEREF _Toc491442790 \h </w:instrText>
      </w:r>
      <w:r>
        <w:fldChar w:fldCharType="separate"/>
      </w:r>
      <w:r>
        <w:t>12</w:t>
      </w:r>
      <w:r>
        <w:fldChar w:fldCharType="end"/>
      </w:r>
    </w:p>
    <w:p w14:paraId="74DD315D" w14:textId="1DCBBE7A" w:rsidR="000425F7" w:rsidRDefault="000425F7">
      <w:pPr>
        <w:pStyle w:val="TOC3"/>
        <w:rPr>
          <w:rFonts w:asciiTheme="minorHAnsi" w:eastAsiaTheme="minorEastAsia" w:hAnsiTheme="minorHAnsi" w:cstheme="minorBidi"/>
          <w:sz w:val="22"/>
          <w:szCs w:val="22"/>
        </w:rPr>
      </w:pPr>
      <w:r w:rsidRPr="000425F7">
        <w:t>4.3</w:t>
      </w:r>
      <w:r>
        <w:rPr>
          <w:rFonts w:asciiTheme="minorHAnsi" w:eastAsiaTheme="minorEastAsia" w:hAnsiTheme="minorHAnsi" w:cstheme="minorBidi"/>
          <w:sz w:val="22"/>
          <w:szCs w:val="22"/>
        </w:rPr>
        <w:tab/>
      </w:r>
      <w:r>
        <w:t>Partnerschappen en samenwerking</w:t>
      </w:r>
      <w:r>
        <w:tab/>
      </w:r>
      <w:r>
        <w:fldChar w:fldCharType="begin"/>
      </w:r>
      <w:r>
        <w:instrText xml:space="preserve"> PAGEREF _Toc491442791 \h </w:instrText>
      </w:r>
      <w:r>
        <w:fldChar w:fldCharType="separate"/>
      </w:r>
      <w:r>
        <w:t>13</w:t>
      </w:r>
      <w:r>
        <w:fldChar w:fldCharType="end"/>
      </w:r>
    </w:p>
    <w:p w14:paraId="64BBB591" w14:textId="7AAC066A" w:rsidR="000425F7" w:rsidRDefault="000425F7">
      <w:pPr>
        <w:pStyle w:val="TOC3"/>
        <w:rPr>
          <w:rFonts w:asciiTheme="minorHAnsi" w:eastAsiaTheme="minorEastAsia" w:hAnsiTheme="minorHAnsi" w:cstheme="minorBidi"/>
          <w:sz w:val="22"/>
          <w:szCs w:val="22"/>
        </w:rPr>
      </w:pPr>
      <w:r>
        <w:t xml:space="preserve">4.4 </w:t>
      </w:r>
      <w:r>
        <w:rPr>
          <w:rFonts w:asciiTheme="minorHAnsi" w:eastAsiaTheme="minorEastAsia" w:hAnsiTheme="minorHAnsi" w:cstheme="minorBidi"/>
          <w:sz w:val="22"/>
          <w:szCs w:val="22"/>
        </w:rPr>
        <w:tab/>
      </w:r>
      <w:r>
        <w:t>Operationeel management</w:t>
      </w:r>
      <w:r>
        <w:tab/>
      </w:r>
      <w:r>
        <w:fldChar w:fldCharType="begin"/>
      </w:r>
      <w:r>
        <w:instrText xml:space="preserve"> PAGEREF _Toc491442792 \h </w:instrText>
      </w:r>
      <w:r>
        <w:fldChar w:fldCharType="separate"/>
      </w:r>
      <w:r>
        <w:t>15</w:t>
      </w:r>
      <w:r>
        <w:fldChar w:fldCharType="end"/>
      </w:r>
    </w:p>
    <w:p w14:paraId="10317463" w14:textId="03E7FA9C" w:rsidR="000425F7" w:rsidRDefault="000425F7">
      <w:pPr>
        <w:pStyle w:val="TOC3"/>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Beleidsevaluatie</w:t>
      </w:r>
      <w:r>
        <w:tab/>
      </w:r>
      <w:r>
        <w:fldChar w:fldCharType="begin"/>
      </w:r>
      <w:r>
        <w:instrText xml:space="preserve"> PAGEREF _Toc491442793 \h </w:instrText>
      </w:r>
      <w:r>
        <w:fldChar w:fldCharType="separate"/>
      </w:r>
      <w:r>
        <w:t>16</w:t>
      </w:r>
      <w:r>
        <w:fldChar w:fldCharType="end"/>
      </w:r>
    </w:p>
    <w:p w14:paraId="544AC557" w14:textId="3FAF1DCF" w:rsidR="000425F7" w:rsidRDefault="000425F7">
      <w:pPr>
        <w:pStyle w:val="TOC3"/>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Human Resource Management</w:t>
      </w:r>
      <w:r>
        <w:tab/>
      </w:r>
      <w:r>
        <w:fldChar w:fldCharType="begin"/>
      </w:r>
      <w:r>
        <w:instrText xml:space="preserve"> PAGEREF _Toc491442794 \h </w:instrText>
      </w:r>
      <w:r>
        <w:fldChar w:fldCharType="separate"/>
      </w:r>
      <w:r>
        <w:t>17</w:t>
      </w:r>
      <w:r>
        <w:fldChar w:fldCharType="end"/>
      </w:r>
    </w:p>
    <w:p w14:paraId="53819078" w14:textId="724CC524" w:rsidR="000425F7" w:rsidRDefault="000425F7">
      <w:pPr>
        <w:pStyle w:val="TOC3"/>
        <w:rPr>
          <w:rFonts w:asciiTheme="minorHAnsi" w:eastAsiaTheme="minorEastAsia" w:hAnsiTheme="minorHAnsi" w:cstheme="minorBidi"/>
          <w:sz w:val="22"/>
          <w:szCs w:val="22"/>
        </w:rPr>
      </w:pPr>
      <w:r>
        <w:t xml:space="preserve">4.7 </w:t>
      </w:r>
      <w:r>
        <w:rPr>
          <w:rFonts w:asciiTheme="minorHAnsi" w:eastAsiaTheme="minorEastAsia" w:hAnsiTheme="minorHAnsi" w:cstheme="minorBidi"/>
          <w:sz w:val="22"/>
          <w:szCs w:val="22"/>
        </w:rPr>
        <w:tab/>
      </w:r>
      <w:r>
        <w:t>Financiële stabiliteit</w:t>
      </w:r>
      <w:r>
        <w:tab/>
      </w:r>
      <w:r>
        <w:fldChar w:fldCharType="begin"/>
      </w:r>
      <w:r>
        <w:instrText xml:space="preserve"> PAGEREF _Toc491442795 \h </w:instrText>
      </w:r>
      <w:r>
        <w:fldChar w:fldCharType="separate"/>
      </w:r>
      <w:r>
        <w:t>18</w:t>
      </w:r>
      <w:r>
        <w:fldChar w:fldCharType="end"/>
      </w:r>
    </w:p>
    <w:p w14:paraId="2C901AB8" w14:textId="297B5E57" w:rsidR="000425F7" w:rsidRDefault="000425F7">
      <w:pPr>
        <w:pStyle w:val="TOC3"/>
        <w:rPr>
          <w:rFonts w:asciiTheme="minorHAnsi" w:eastAsiaTheme="minorEastAsia" w:hAnsiTheme="minorHAnsi" w:cstheme="minorBidi"/>
          <w:sz w:val="22"/>
          <w:szCs w:val="22"/>
        </w:rPr>
      </w:pPr>
      <w:r>
        <w:t xml:space="preserve">4.8 </w:t>
      </w:r>
      <w:r>
        <w:rPr>
          <w:rFonts w:asciiTheme="minorHAnsi" w:eastAsiaTheme="minorEastAsia" w:hAnsiTheme="minorHAnsi" w:cstheme="minorBidi"/>
          <w:sz w:val="22"/>
          <w:szCs w:val="22"/>
        </w:rPr>
        <w:tab/>
      </w:r>
      <w:r>
        <w:t>Kostenreductie</w:t>
      </w:r>
      <w:r>
        <w:tab/>
      </w:r>
      <w:r>
        <w:fldChar w:fldCharType="begin"/>
      </w:r>
      <w:r>
        <w:instrText xml:space="preserve"> PAGEREF _Toc491442796 \h </w:instrText>
      </w:r>
      <w:r>
        <w:fldChar w:fldCharType="separate"/>
      </w:r>
      <w:r>
        <w:t>19</w:t>
      </w:r>
      <w:r>
        <w:fldChar w:fldCharType="end"/>
      </w:r>
    </w:p>
    <w:p w14:paraId="2F5DD77E" w14:textId="0CB55BA7" w:rsidR="000425F7" w:rsidRDefault="000425F7">
      <w:pPr>
        <w:pStyle w:val="TOC3"/>
        <w:rPr>
          <w:rFonts w:asciiTheme="minorHAnsi" w:eastAsiaTheme="minorEastAsia" w:hAnsiTheme="minorHAnsi" w:cstheme="minorBidi"/>
          <w:sz w:val="22"/>
          <w:szCs w:val="22"/>
        </w:rPr>
      </w:pPr>
      <w:r>
        <w:t xml:space="preserve">4.9 </w:t>
      </w:r>
      <w:r>
        <w:rPr>
          <w:rFonts w:asciiTheme="minorHAnsi" w:eastAsiaTheme="minorEastAsia" w:hAnsiTheme="minorHAnsi" w:cstheme="minorBidi"/>
          <w:sz w:val="22"/>
          <w:szCs w:val="22"/>
        </w:rPr>
        <w:tab/>
      </w:r>
      <w:r>
        <w:t>Corruptiebestrijding</w:t>
      </w:r>
      <w:r>
        <w:tab/>
      </w:r>
      <w:r>
        <w:fldChar w:fldCharType="begin"/>
      </w:r>
      <w:r>
        <w:instrText xml:space="preserve"> PAGEREF _Toc491442797 \h </w:instrText>
      </w:r>
      <w:r>
        <w:fldChar w:fldCharType="separate"/>
      </w:r>
      <w:r>
        <w:t>20</w:t>
      </w:r>
      <w:r>
        <w:fldChar w:fldCharType="end"/>
      </w:r>
    </w:p>
    <w:p w14:paraId="3E20BDA9" w14:textId="2473F24B" w:rsidR="000425F7" w:rsidRDefault="000425F7">
      <w:pPr>
        <w:pStyle w:val="TOC2"/>
        <w:rPr>
          <w:rFonts w:asciiTheme="minorHAnsi" w:eastAsiaTheme="minorEastAsia" w:hAnsiTheme="minorHAnsi" w:cstheme="minorBidi"/>
          <w:b w:val="0"/>
          <w:sz w:val="22"/>
          <w:szCs w:val="22"/>
        </w:rPr>
      </w:pPr>
      <w:r>
        <w:t xml:space="preserve">5 </w:t>
      </w:r>
      <w:r>
        <w:rPr>
          <w:rFonts w:asciiTheme="minorHAnsi" w:eastAsiaTheme="minorEastAsia" w:hAnsiTheme="minorHAnsi" w:cstheme="minorBidi"/>
          <w:b w:val="0"/>
          <w:sz w:val="22"/>
          <w:szCs w:val="22"/>
        </w:rPr>
        <w:tab/>
      </w:r>
      <w:r>
        <w:t>Relevantie van de organisatie</w:t>
      </w:r>
      <w:r>
        <w:tab/>
      </w:r>
      <w:r>
        <w:fldChar w:fldCharType="begin"/>
      </w:r>
      <w:r>
        <w:instrText xml:space="preserve"> PAGEREF _Toc491442798 \h </w:instrText>
      </w:r>
      <w:r>
        <w:fldChar w:fldCharType="separate"/>
      </w:r>
      <w:r>
        <w:t>21</w:t>
      </w:r>
      <w:r>
        <w:fldChar w:fldCharType="end"/>
      </w:r>
    </w:p>
    <w:p w14:paraId="0918E1C7" w14:textId="6DE7B7E1" w:rsidR="000425F7" w:rsidRDefault="000425F7">
      <w:pPr>
        <w:pStyle w:val="TOC3"/>
        <w:rPr>
          <w:rFonts w:asciiTheme="minorHAnsi" w:eastAsiaTheme="minorEastAsia" w:hAnsiTheme="minorHAnsi" w:cstheme="minorBidi"/>
          <w:sz w:val="22"/>
          <w:szCs w:val="22"/>
        </w:rPr>
      </w:pPr>
      <w:r>
        <w:t xml:space="preserve">5.1 </w:t>
      </w:r>
      <w:r>
        <w:rPr>
          <w:rFonts w:asciiTheme="minorHAnsi" w:eastAsiaTheme="minorEastAsia" w:hAnsiTheme="minorHAnsi" w:cstheme="minorBidi"/>
          <w:sz w:val="22"/>
          <w:szCs w:val="22"/>
        </w:rPr>
        <w:tab/>
      </w:r>
      <w:r>
        <w:t>Relevantie voor Nederlandse BHOS-prioriteiten</w:t>
      </w:r>
      <w:r>
        <w:tab/>
      </w:r>
      <w:r>
        <w:fldChar w:fldCharType="begin"/>
      </w:r>
      <w:r>
        <w:instrText xml:space="preserve"> PAGEREF _Toc491442799 \h </w:instrText>
      </w:r>
      <w:r>
        <w:fldChar w:fldCharType="separate"/>
      </w:r>
      <w:r>
        <w:t>21</w:t>
      </w:r>
      <w:r>
        <w:fldChar w:fldCharType="end"/>
      </w:r>
    </w:p>
    <w:p w14:paraId="1A9A398E" w14:textId="2F2AD9DC" w:rsidR="000425F7" w:rsidRDefault="000425F7">
      <w:pPr>
        <w:pStyle w:val="TOC3"/>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Overige relevantie</w:t>
      </w:r>
      <w:r>
        <w:tab/>
      </w:r>
      <w:r>
        <w:fldChar w:fldCharType="begin"/>
      </w:r>
      <w:r>
        <w:instrText xml:space="preserve"> PAGEREF _Toc491442800 \h </w:instrText>
      </w:r>
      <w:r>
        <w:fldChar w:fldCharType="separate"/>
      </w:r>
      <w:r>
        <w:t>22</w:t>
      </w:r>
      <w:r>
        <w:fldChar w:fldCharType="end"/>
      </w:r>
    </w:p>
    <w:p w14:paraId="6266168A" w14:textId="74416DC3" w:rsidR="00261F77" w:rsidRPr="00290657" w:rsidRDefault="00CB063E" w:rsidP="00F73DEC">
      <w:pPr>
        <w:pStyle w:val="TOC3"/>
        <w:rPr>
          <w:rFonts w:ascii="Calibri" w:hAnsi="Calibri"/>
          <w:sz w:val="22"/>
          <w:szCs w:val="22"/>
        </w:rPr>
      </w:pPr>
      <w:r w:rsidRPr="00785F18">
        <w:fldChar w:fldCharType="end"/>
      </w:r>
    </w:p>
    <w:p w14:paraId="65EE0CDB" w14:textId="77777777" w:rsidR="00101F98" w:rsidRPr="00785F18" w:rsidRDefault="00101F98" w:rsidP="00163FA2">
      <w:pPr>
        <w:tabs>
          <w:tab w:val="left" w:pos="0"/>
        </w:tabs>
      </w:pPr>
    </w:p>
    <w:p w14:paraId="502FA759" w14:textId="77777777" w:rsidR="00A908F9" w:rsidRDefault="00A908F9" w:rsidP="00101F98"/>
    <w:p w14:paraId="675C71EE" w14:textId="77777777" w:rsidR="00A908F9" w:rsidRPr="00A908F9" w:rsidRDefault="00A908F9" w:rsidP="00A908F9"/>
    <w:p w14:paraId="6167D751" w14:textId="77777777" w:rsidR="00A908F9" w:rsidRPr="00A908F9" w:rsidRDefault="00A908F9" w:rsidP="00A908F9"/>
    <w:p w14:paraId="363A26C2" w14:textId="77777777" w:rsidR="00A908F9" w:rsidRDefault="00A908F9" w:rsidP="00A908F9">
      <w:pPr>
        <w:jc w:val="center"/>
      </w:pPr>
    </w:p>
    <w:p w14:paraId="7A5FE12B" w14:textId="77777777" w:rsidR="00101F98" w:rsidRPr="00A908F9" w:rsidRDefault="00101F98" w:rsidP="00A908F9">
      <w:pPr>
        <w:sectPr w:rsidR="00101F98" w:rsidRPr="00A908F9" w:rsidSect="00EE1B9E">
          <w:headerReference w:type="first" r:id="rId17"/>
          <w:type w:val="continuous"/>
          <w:pgSz w:w="11906" w:h="16838" w:code="9"/>
          <w:pgMar w:top="2520" w:right="960" w:bottom="1080" w:left="3220" w:header="200" w:footer="660" w:gutter="0"/>
          <w:cols w:space="708"/>
          <w:titlePg/>
          <w:docGrid w:linePitch="360"/>
        </w:sectPr>
      </w:pPr>
    </w:p>
    <w:p w14:paraId="7F73FE54" w14:textId="3C479453" w:rsidR="000537C6" w:rsidRDefault="000537C6" w:rsidP="000537C6">
      <w:pPr>
        <w:pStyle w:val="Heading1"/>
        <w:tabs>
          <w:tab w:val="num" w:pos="0"/>
        </w:tabs>
        <w:spacing w:after="240" w:line="240" w:lineRule="auto"/>
        <w:ind w:hanging="1162"/>
      </w:pPr>
      <w:bookmarkStart w:id="12" w:name="_Toc238533654"/>
      <w:bookmarkStart w:id="13" w:name="_Toc238537583"/>
      <w:bookmarkStart w:id="14" w:name="_Toc238538136"/>
      <w:bookmarkStart w:id="15" w:name="_Toc238538151"/>
      <w:bookmarkStart w:id="16" w:name="_Toc410397639"/>
      <w:bookmarkStart w:id="17" w:name="_Toc479602618"/>
      <w:bookmarkStart w:id="18" w:name="_Toc300822504"/>
      <w:bookmarkStart w:id="19" w:name="_Toc479602597"/>
      <w:bookmarkStart w:id="20" w:name="_Toc491442779"/>
      <w:bookmarkEnd w:id="12"/>
      <w:bookmarkEnd w:id="13"/>
      <w:bookmarkEnd w:id="14"/>
      <w:bookmarkEnd w:id="15"/>
      <w:r>
        <w:lastRenderedPageBreak/>
        <w:t>1</w:t>
      </w:r>
      <w:r>
        <w:tab/>
        <w:t>Samenvatting</w:t>
      </w:r>
      <w:bookmarkEnd w:id="16"/>
      <w:bookmarkEnd w:id="17"/>
      <w:bookmarkEnd w:id="20"/>
    </w:p>
    <w:p w14:paraId="1FF0E6D6" w14:textId="3667A5F1" w:rsidR="000537C6" w:rsidRDefault="000537C6" w:rsidP="000537C6">
      <w:pPr>
        <w:pStyle w:val="Heading2"/>
        <w:tabs>
          <w:tab w:val="left" w:pos="-1162"/>
          <w:tab w:val="left" w:pos="0"/>
          <w:tab w:val="num" w:pos="1160"/>
        </w:tabs>
        <w:spacing w:line="240" w:lineRule="auto"/>
        <w:ind w:hanging="1162"/>
      </w:pPr>
      <w:bookmarkStart w:id="21" w:name="_Toc410397640"/>
      <w:bookmarkStart w:id="22" w:name="_Toc479602619"/>
      <w:bookmarkStart w:id="23" w:name="_Toc491442780"/>
      <w:r>
        <w:t xml:space="preserve">1.1 </w:t>
      </w:r>
      <w:r>
        <w:tab/>
        <w:t>Institutionele aspecten en functioneren</w:t>
      </w:r>
      <w:bookmarkEnd w:id="21"/>
      <w:bookmarkEnd w:id="22"/>
      <w:bookmarkEnd w:id="23"/>
    </w:p>
    <w:p w14:paraId="29554853" w14:textId="6B624D8F" w:rsidR="000537C6" w:rsidRDefault="005820F8" w:rsidP="000537C6">
      <w:r>
        <w:t xml:space="preserve">Op het gebied van het bestrijden van </w:t>
      </w:r>
      <w:r w:rsidR="00F036A8">
        <w:t xml:space="preserve">drugs en </w:t>
      </w:r>
      <w:r>
        <w:t>internationale (georganiseerde) misdaad</w:t>
      </w:r>
      <w:r w:rsidR="00F036A8">
        <w:t xml:space="preserve">, waaronder ook terrorisme, </w:t>
      </w:r>
      <w:r>
        <w:t xml:space="preserve">is UNODC, </w:t>
      </w:r>
      <w:r w:rsidRPr="0023111C">
        <w:rPr>
          <w:i/>
        </w:rPr>
        <w:t xml:space="preserve">United Nations Office of Drugs </w:t>
      </w:r>
      <w:proofErr w:type="spellStart"/>
      <w:r w:rsidRPr="0023111C">
        <w:rPr>
          <w:i/>
        </w:rPr>
        <w:t>and</w:t>
      </w:r>
      <w:proofErr w:type="spellEnd"/>
      <w:r w:rsidRPr="0023111C">
        <w:rPr>
          <w:i/>
        </w:rPr>
        <w:t xml:space="preserve"> Crime</w:t>
      </w:r>
      <w:r>
        <w:t xml:space="preserve">, de belangrijkste </w:t>
      </w:r>
      <w:r w:rsidR="0023111C">
        <w:t>VN-organisatie</w:t>
      </w:r>
      <w:r>
        <w:t xml:space="preserve">. </w:t>
      </w:r>
      <w:r w:rsidR="000537C6">
        <w:t>De belang</w:t>
      </w:r>
      <w:r w:rsidR="00E84222">
        <w:t xml:space="preserve">rijkste werkvelden van UNODC, </w:t>
      </w:r>
      <w:r w:rsidR="000537C6">
        <w:t xml:space="preserve">liggen op het operationele, normerende en </w:t>
      </w:r>
      <w:r w:rsidR="0023111C">
        <w:t>beleid adviserende</w:t>
      </w:r>
      <w:r w:rsidR="000537C6">
        <w:t xml:space="preserve"> vlak op het gebied van het bestrijden en preventie van drugs en criminaliteit. Dit doet de organisatie zowel door normen te stellen, als door het verlenen van technische assistentie en landen bij te staan om hun beleids- en juridische kaders aan te passen, inclusief te werken aan de capaciteitsopbouw van de juridische keten. Ook zijn er projecten om direct grootschalige misdaad tegen te gaan. Op het gebied van drugs ligt de focus niet alleen op de harde aanpak, maar ook in de juiste balans met gezondheid, welzijn en mensrechten. Mede</w:t>
      </w:r>
      <w:r w:rsidR="00653817">
        <w:t xml:space="preserve"> </w:t>
      </w:r>
      <w:r w:rsidR="000537C6">
        <w:t>door de inzet van Nederland heeft UNODC zich de laatste jaren ontwikkeld als een belangrijke partner hierin. UNODC heeft sterke onderzoeks- en analysecapaciteit en speelt een belangrijke rol in het signaleren van wereldwijde trends op het gebied van drugs, cybercrime en mensenhandel. UNODC heeft regiokantoren over de hele wereld. Vanuit deze kantoren worden de projecten aangestuurd. Dit gebeurt samen met andere VN-organisaties of met andere internationale en regionale organisaties</w:t>
      </w:r>
      <w:r w:rsidR="00DF57D5">
        <w:t xml:space="preserve"> (ook </w:t>
      </w:r>
      <w:proofErr w:type="spellStart"/>
      <w:r w:rsidR="00DF57D5">
        <w:t>NGO</w:t>
      </w:r>
      <w:r w:rsidR="0023111C">
        <w:t>’</w:t>
      </w:r>
      <w:r w:rsidR="00DF57D5">
        <w:t>s</w:t>
      </w:r>
      <w:proofErr w:type="spellEnd"/>
      <w:r w:rsidR="00DF57D5">
        <w:t>)</w:t>
      </w:r>
      <w:r w:rsidR="000537C6">
        <w:t xml:space="preserve">. Op het terrein van drugs wordt steeds nauwer samengewerkt met de WHO. UNODC opereert niet altijd eigenstandig, maar hanteert het </w:t>
      </w:r>
      <w:proofErr w:type="spellStart"/>
      <w:r w:rsidR="000537C6" w:rsidRPr="0023111C">
        <w:rPr>
          <w:i/>
        </w:rPr>
        <w:t>delivering</w:t>
      </w:r>
      <w:proofErr w:type="spellEnd"/>
      <w:r w:rsidR="000537C6" w:rsidRPr="0023111C">
        <w:rPr>
          <w:i/>
        </w:rPr>
        <w:t xml:space="preserve"> as </w:t>
      </w:r>
      <w:proofErr w:type="spellStart"/>
      <w:r w:rsidR="000537C6" w:rsidRPr="0023111C">
        <w:rPr>
          <w:i/>
        </w:rPr>
        <w:t>one</w:t>
      </w:r>
      <w:proofErr w:type="spellEnd"/>
      <w:r w:rsidR="000537C6" w:rsidRPr="0023111C">
        <w:rPr>
          <w:i/>
        </w:rPr>
        <w:t xml:space="preserve"> framework</w:t>
      </w:r>
      <w:r w:rsidR="000537C6">
        <w:t xml:space="preserve"> waar mogelijk. Daarnaast wordt sterk samengewerkt met de lokale overheden en justitiële instituties. </w:t>
      </w:r>
    </w:p>
    <w:p w14:paraId="47C46A80" w14:textId="77777777" w:rsidR="000537C6" w:rsidRDefault="000537C6" w:rsidP="000537C6"/>
    <w:p w14:paraId="55367BE0" w14:textId="36A6D662" w:rsidR="000537C6" w:rsidRDefault="000537C6" w:rsidP="000537C6">
      <w:r>
        <w:t xml:space="preserve">UNODC is sterk afhankelijk van de </w:t>
      </w:r>
      <w:r w:rsidR="00750846">
        <w:rPr>
          <w:i/>
        </w:rPr>
        <w:t>non-</w:t>
      </w:r>
      <w:proofErr w:type="spellStart"/>
      <w:r w:rsidR="00750846">
        <w:rPr>
          <w:i/>
        </w:rPr>
        <w:t>core</w:t>
      </w:r>
      <w:proofErr w:type="spellEnd"/>
      <w:r>
        <w:t xml:space="preserve"> bijdragen</w:t>
      </w:r>
      <w:r w:rsidR="00750846">
        <w:rPr>
          <w:rStyle w:val="FootnoteReference"/>
        </w:rPr>
        <w:footnoteReference w:id="2"/>
      </w:r>
      <w:r>
        <w:t xml:space="preserve"> van lidstaten. Het vaste budget is niet groot. Dit is een grote uitdaging voor de organisatie. Nederland geeft ook geen vaste </w:t>
      </w:r>
      <w:proofErr w:type="spellStart"/>
      <w:r w:rsidRPr="00ED0AAF">
        <w:rPr>
          <w:i/>
        </w:rPr>
        <w:t>core</w:t>
      </w:r>
      <w:proofErr w:type="spellEnd"/>
      <w:r>
        <w:t xml:space="preserve"> bijdrage, maar doneert geld voor diverse projecten. In 2014 was Nederland de 3</w:t>
      </w:r>
      <w:r>
        <w:rPr>
          <w:vertAlign w:val="superscript"/>
        </w:rPr>
        <w:t>e</w:t>
      </w:r>
      <w:r>
        <w:t xml:space="preserve"> grote donor (</w:t>
      </w:r>
      <w:proofErr w:type="spellStart"/>
      <w:r w:rsidR="00ED0AAF">
        <w:rPr>
          <w:i/>
        </w:rPr>
        <w:t>core</w:t>
      </w:r>
      <w:proofErr w:type="spellEnd"/>
      <w:r>
        <w:t xml:space="preserve">) van UNODC. Daarmee nemen we een belangrijke plek in op de donorlijst van deze organisatie. Men ervaart de samenwerking over het algemeen als heel prettig, zowel in het veld als </w:t>
      </w:r>
      <w:r w:rsidR="005820F8">
        <w:t>met</w:t>
      </w:r>
      <w:r w:rsidR="00BA4F63">
        <w:t xml:space="preserve"> </w:t>
      </w:r>
      <w:r>
        <w:t xml:space="preserve">het hoofdkantoor. UNODC heeft kundige en ervaren mensen op de diverse kantoren zitten. In 2015 is een </w:t>
      </w:r>
      <w:r w:rsidR="0023111C">
        <w:t>nieuw</w:t>
      </w:r>
      <w:r>
        <w:t xml:space="preserve"> </w:t>
      </w:r>
      <w:r w:rsidR="0023111C">
        <w:t>computersysteem</w:t>
      </w:r>
      <w:r>
        <w:t xml:space="preserve"> ingevoerd. Dit verliep moeizaam, waardoor er een vertraging is in het opstellen van financiële rapportages.</w:t>
      </w:r>
      <w:r w:rsidR="00F036A8">
        <w:t xml:space="preserve"> Voor het jaar 2016 lijkt het erop dat UNODC erin geslaagd is dit te verbeteren.</w:t>
      </w:r>
    </w:p>
    <w:p w14:paraId="42A1E282" w14:textId="4F23EC84" w:rsidR="000537C6" w:rsidRDefault="000537C6" w:rsidP="000537C6"/>
    <w:tbl>
      <w:tblPr>
        <w:tblW w:w="7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4"/>
        <w:gridCol w:w="840"/>
        <w:gridCol w:w="1466"/>
      </w:tblGrid>
      <w:tr w:rsidR="0002330E" w14:paraId="352B6167" w14:textId="77777777" w:rsidTr="009A3ADF">
        <w:tc>
          <w:tcPr>
            <w:tcW w:w="5344" w:type="dxa"/>
            <w:tcBorders>
              <w:top w:val="single" w:sz="12" w:space="0" w:color="auto"/>
              <w:left w:val="single" w:sz="12" w:space="0" w:color="auto"/>
              <w:bottom w:val="single" w:sz="12" w:space="0" w:color="auto"/>
              <w:right w:val="single" w:sz="4" w:space="0" w:color="auto"/>
            </w:tcBorders>
            <w:shd w:val="clear" w:color="auto" w:fill="BFBFBF" w:themeFill="background1" w:themeFillShade="BF"/>
          </w:tcPr>
          <w:p w14:paraId="371B5CEF" w14:textId="47AC0EA3" w:rsidR="0002330E" w:rsidRPr="00E06931" w:rsidRDefault="0002330E" w:rsidP="0002330E">
            <w:pPr>
              <w:rPr>
                <w:lang w:eastAsia="ja-JP"/>
              </w:rPr>
            </w:pPr>
            <w:proofErr w:type="spellStart"/>
            <w:r>
              <w:rPr>
                <w:b/>
                <w:lang w:val="en-US" w:eastAsia="ja-JP"/>
              </w:rPr>
              <w:t>Institutionele</w:t>
            </w:r>
            <w:proofErr w:type="spellEnd"/>
            <w:r>
              <w:rPr>
                <w:b/>
                <w:lang w:val="en-US" w:eastAsia="ja-JP"/>
              </w:rPr>
              <w:t xml:space="preserve"> </w:t>
            </w:r>
            <w:proofErr w:type="spellStart"/>
            <w:r>
              <w:rPr>
                <w:b/>
                <w:lang w:val="en-US" w:eastAsia="ja-JP"/>
              </w:rPr>
              <w:t>aspecten</w:t>
            </w:r>
            <w:proofErr w:type="spellEnd"/>
            <w:r>
              <w:rPr>
                <w:b/>
                <w:lang w:val="en-US" w:eastAsia="ja-JP"/>
              </w:rPr>
              <w:t xml:space="preserve"> </w:t>
            </w:r>
            <w:proofErr w:type="spellStart"/>
            <w:r>
              <w:rPr>
                <w:b/>
                <w:lang w:val="en-US" w:eastAsia="ja-JP"/>
              </w:rPr>
              <w:t>en</w:t>
            </w:r>
            <w:proofErr w:type="spellEnd"/>
            <w:r>
              <w:rPr>
                <w:b/>
                <w:lang w:val="en-US" w:eastAsia="ja-JP"/>
              </w:rPr>
              <w:t xml:space="preserve"> </w:t>
            </w:r>
            <w:proofErr w:type="spellStart"/>
            <w:r>
              <w:rPr>
                <w:b/>
                <w:lang w:val="en-US" w:eastAsia="ja-JP"/>
              </w:rPr>
              <w:t>functioneren</w:t>
            </w:r>
            <w:proofErr w:type="spellEnd"/>
            <w:r>
              <w:rPr>
                <w:b/>
                <w:lang w:val="en-US" w:eastAsia="ja-JP"/>
              </w:rPr>
              <w:t xml:space="preserve"> </w:t>
            </w:r>
          </w:p>
        </w:tc>
        <w:tc>
          <w:tcPr>
            <w:tcW w:w="840" w:type="dxa"/>
            <w:tcBorders>
              <w:top w:val="single" w:sz="12" w:space="0" w:color="auto"/>
              <w:left w:val="single" w:sz="4" w:space="0" w:color="auto"/>
              <w:bottom w:val="single" w:sz="12" w:space="0" w:color="auto"/>
              <w:right w:val="single" w:sz="4" w:space="0" w:color="auto"/>
            </w:tcBorders>
            <w:shd w:val="clear" w:color="auto" w:fill="BFBFBF" w:themeFill="background1" w:themeFillShade="BF"/>
            <w:hideMark/>
          </w:tcPr>
          <w:p w14:paraId="2FC90163" w14:textId="77777777" w:rsidR="0002330E" w:rsidRDefault="0002330E" w:rsidP="0002330E">
            <w:pPr>
              <w:rPr>
                <w:lang w:val="en-US" w:eastAsia="ja-JP"/>
              </w:rPr>
            </w:pPr>
            <w:r>
              <w:rPr>
                <w:lang w:val="en-US" w:eastAsia="ja-JP"/>
              </w:rPr>
              <w:t>Score</w:t>
            </w:r>
          </w:p>
        </w:tc>
        <w:tc>
          <w:tcPr>
            <w:tcW w:w="1466" w:type="dxa"/>
            <w:tcBorders>
              <w:top w:val="single" w:sz="12" w:space="0" w:color="auto"/>
              <w:left w:val="single" w:sz="4" w:space="0" w:color="auto"/>
              <w:bottom w:val="single" w:sz="12" w:space="0" w:color="auto"/>
              <w:right w:val="single" w:sz="12" w:space="0" w:color="auto"/>
            </w:tcBorders>
            <w:shd w:val="clear" w:color="auto" w:fill="BFBFBF" w:themeFill="background1" w:themeFillShade="BF"/>
            <w:hideMark/>
          </w:tcPr>
          <w:p w14:paraId="4D46EE28" w14:textId="77777777" w:rsidR="0002330E" w:rsidRDefault="0002330E" w:rsidP="0002330E">
            <w:pPr>
              <w:rPr>
                <w:lang w:val="en-US" w:eastAsia="ja-JP"/>
              </w:rPr>
            </w:pPr>
            <w:proofErr w:type="spellStart"/>
            <w:r>
              <w:rPr>
                <w:lang w:val="en-US" w:eastAsia="ja-JP"/>
              </w:rPr>
              <w:t>Verandering</w:t>
            </w:r>
            <w:proofErr w:type="spellEnd"/>
          </w:p>
        </w:tc>
      </w:tr>
      <w:tr w:rsidR="0002330E" w14:paraId="73BA7EAA" w14:textId="77777777" w:rsidTr="0002330E">
        <w:tc>
          <w:tcPr>
            <w:tcW w:w="5344" w:type="dxa"/>
            <w:tcBorders>
              <w:top w:val="single" w:sz="12" w:space="0" w:color="auto"/>
              <w:left w:val="single" w:sz="12" w:space="0" w:color="auto"/>
              <w:bottom w:val="single" w:sz="4" w:space="0" w:color="auto"/>
              <w:right w:val="single" w:sz="4" w:space="0" w:color="auto"/>
            </w:tcBorders>
            <w:hideMark/>
          </w:tcPr>
          <w:p w14:paraId="6C2D32FB" w14:textId="77777777" w:rsidR="0002330E" w:rsidRDefault="0002330E" w:rsidP="0002330E">
            <w:pPr>
              <w:rPr>
                <w:lang w:val="en-US" w:eastAsia="ja-JP"/>
              </w:rPr>
            </w:pPr>
            <w:proofErr w:type="spellStart"/>
            <w:r>
              <w:rPr>
                <w:lang w:val="en-US" w:eastAsia="ja-JP"/>
              </w:rPr>
              <w:t>Strategie</w:t>
            </w:r>
            <w:proofErr w:type="spellEnd"/>
            <w:r>
              <w:rPr>
                <w:lang w:val="en-US" w:eastAsia="ja-JP"/>
              </w:rPr>
              <w:t xml:space="preserve"> </w:t>
            </w:r>
            <w:proofErr w:type="spellStart"/>
            <w:r>
              <w:rPr>
                <w:lang w:val="en-US" w:eastAsia="ja-JP"/>
              </w:rPr>
              <w:t>en</w:t>
            </w:r>
            <w:proofErr w:type="spellEnd"/>
            <w:r>
              <w:rPr>
                <w:lang w:val="en-US" w:eastAsia="ja-JP"/>
              </w:rPr>
              <w:t xml:space="preserve"> </w:t>
            </w:r>
            <w:proofErr w:type="spellStart"/>
            <w:r>
              <w:rPr>
                <w:lang w:val="en-US" w:eastAsia="ja-JP"/>
              </w:rPr>
              <w:t>verantwoording</w:t>
            </w:r>
            <w:proofErr w:type="spellEnd"/>
            <w:r>
              <w:rPr>
                <w:lang w:val="en-US" w:eastAsia="ja-JP"/>
              </w:rPr>
              <w:t xml:space="preserve"> </w:t>
            </w:r>
          </w:p>
        </w:tc>
        <w:tc>
          <w:tcPr>
            <w:tcW w:w="840" w:type="dxa"/>
            <w:tcBorders>
              <w:top w:val="single" w:sz="12" w:space="0" w:color="auto"/>
              <w:left w:val="single" w:sz="4" w:space="0" w:color="auto"/>
              <w:bottom w:val="single" w:sz="4" w:space="0" w:color="auto"/>
              <w:right w:val="single" w:sz="4" w:space="0" w:color="auto"/>
            </w:tcBorders>
            <w:vAlign w:val="center"/>
          </w:tcPr>
          <w:p w14:paraId="1D09A931" w14:textId="77777777" w:rsidR="0002330E" w:rsidRDefault="0002330E" w:rsidP="0002330E">
            <w:pPr>
              <w:jc w:val="center"/>
              <w:rPr>
                <w:lang w:val="en-US" w:eastAsia="ja-JP"/>
              </w:rPr>
            </w:pPr>
            <w:r>
              <w:rPr>
                <w:lang w:val="en-US" w:eastAsia="ja-JP"/>
              </w:rPr>
              <w:t>3</w:t>
            </w:r>
          </w:p>
        </w:tc>
        <w:tc>
          <w:tcPr>
            <w:tcW w:w="1466" w:type="dxa"/>
            <w:tcBorders>
              <w:top w:val="single" w:sz="12" w:space="0" w:color="auto"/>
              <w:left w:val="single" w:sz="4" w:space="0" w:color="auto"/>
              <w:bottom w:val="single" w:sz="4" w:space="0" w:color="auto"/>
              <w:right w:val="single" w:sz="12" w:space="0" w:color="auto"/>
            </w:tcBorders>
            <w:vAlign w:val="center"/>
          </w:tcPr>
          <w:p w14:paraId="16AC86C2" w14:textId="77777777" w:rsidR="0002330E" w:rsidRDefault="0002330E" w:rsidP="0002330E">
            <w:pPr>
              <w:jc w:val="center"/>
              <w:rPr>
                <w:lang w:val="en-US" w:eastAsia="ja-JP"/>
              </w:rPr>
            </w:pPr>
            <w:r>
              <w:sym w:font="Wingdings" w:char="F0E8"/>
            </w:r>
          </w:p>
        </w:tc>
      </w:tr>
      <w:tr w:rsidR="0002330E" w14:paraId="26642DB9" w14:textId="77777777" w:rsidTr="0002330E">
        <w:tc>
          <w:tcPr>
            <w:tcW w:w="5344" w:type="dxa"/>
            <w:tcBorders>
              <w:top w:val="single" w:sz="4" w:space="0" w:color="auto"/>
              <w:left w:val="single" w:sz="12" w:space="0" w:color="auto"/>
              <w:bottom w:val="single" w:sz="4" w:space="0" w:color="auto"/>
              <w:right w:val="single" w:sz="4" w:space="0" w:color="auto"/>
            </w:tcBorders>
            <w:hideMark/>
          </w:tcPr>
          <w:p w14:paraId="3B35E1E4" w14:textId="77777777" w:rsidR="0002330E" w:rsidRDefault="0002330E" w:rsidP="0002330E">
            <w:pPr>
              <w:rPr>
                <w:lang w:val="en-US" w:eastAsia="ja-JP"/>
              </w:rPr>
            </w:pPr>
            <w:proofErr w:type="spellStart"/>
            <w:r>
              <w:rPr>
                <w:lang w:val="en-US" w:eastAsia="ja-JP"/>
              </w:rPr>
              <w:t>Resultaatgerichtheid</w:t>
            </w:r>
            <w:proofErr w:type="spellEnd"/>
            <w:r>
              <w:rPr>
                <w:lang w:val="en-US" w:eastAsia="ja-JP"/>
              </w:rPr>
              <w:t xml:space="preserve"> </w:t>
            </w:r>
            <w:proofErr w:type="spellStart"/>
            <w:r>
              <w:rPr>
                <w:lang w:val="en-US" w:eastAsia="ja-JP"/>
              </w:rPr>
              <w:t>en</w:t>
            </w:r>
            <w:proofErr w:type="spellEnd"/>
            <w:r>
              <w:rPr>
                <w:lang w:val="en-US" w:eastAsia="ja-JP"/>
              </w:rPr>
              <w:t xml:space="preserve"> </w:t>
            </w:r>
            <w:proofErr w:type="spellStart"/>
            <w:r>
              <w:rPr>
                <w:lang w:val="en-US" w:eastAsia="ja-JP"/>
              </w:rPr>
              <w:t>transparantie</w:t>
            </w:r>
            <w:proofErr w:type="spellEnd"/>
          </w:p>
        </w:tc>
        <w:tc>
          <w:tcPr>
            <w:tcW w:w="840" w:type="dxa"/>
            <w:tcBorders>
              <w:top w:val="single" w:sz="4" w:space="0" w:color="auto"/>
              <w:left w:val="single" w:sz="4" w:space="0" w:color="auto"/>
              <w:bottom w:val="single" w:sz="4" w:space="0" w:color="auto"/>
              <w:right w:val="single" w:sz="4" w:space="0" w:color="auto"/>
            </w:tcBorders>
            <w:vAlign w:val="center"/>
          </w:tcPr>
          <w:p w14:paraId="1D27CC3C" w14:textId="77777777" w:rsidR="0002330E" w:rsidRDefault="0002330E" w:rsidP="0002330E">
            <w:pPr>
              <w:jc w:val="center"/>
              <w:rPr>
                <w:lang w:val="en-US" w:eastAsia="ja-JP"/>
              </w:rPr>
            </w:pPr>
            <w:r>
              <w:rPr>
                <w:lang w:val="en-US" w:eastAsia="ja-JP"/>
              </w:rPr>
              <w:t>3</w:t>
            </w:r>
          </w:p>
        </w:tc>
        <w:tc>
          <w:tcPr>
            <w:tcW w:w="1466" w:type="dxa"/>
            <w:tcBorders>
              <w:top w:val="single" w:sz="4" w:space="0" w:color="auto"/>
              <w:left w:val="single" w:sz="4" w:space="0" w:color="auto"/>
              <w:bottom w:val="single" w:sz="4" w:space="0" w:color="auto"/>
              <w:right w:val="single" w:sz="12" w:space="0" w:color="auto"/>
            </w:tcBorders>
            <w:vAlign w:val="center"/>
          </w:tcPr>
          <w:p w14:paraId="1AD2DC90" w14:textId="77777777" w:rsidR="0002330E" w:rsidRDefault="0002330E" w:rsidP="0002330E">
            <w:pPr>
              <w:jc w:val="center"/>
              <w:rPr>
                <w:lang w:val="en-US" w:eastAsia="ja-JP"/>
              </w:rPr>
            </w:pPr>
            <w:r>
              <w:sym w:font="Wingdings" w:char="F0E8"/>
            </w:r>
          </w:p>
        </w:tc>
      </w:tr>
      <w:tr w:rsidR="0002330E" w14:paraId="131913BE" w14:textId="77777777" w:rsidTr="0002330E">
        <w:tc>
          <w:tcPr>
            <w:tcW w:w="5344" w:type="dxa"/>
            <w:tcBorders>
              <w:top w:val="single" w:sz="4" w:space="0" w:color="auto"/>
              <w:left w:val="single" w:sz="12" w:space="0" w:color="auto"/>
              <w:bottom w:val="single" w:sz="4" w:space="0" w:color="auto"/>
              <w:right w:val="single" w:sz="4" w:space="0" w:color="auto"/>
            </w:tcBorders>
            <w:hideMark/>
          </w:tcPr>
          <w:p w14:paraId="262BD755" w14:textId="77777777" w:rsidR="0002330E" w:rsidRDefault="0002330E" w:rsidP="0002330E">
            <w:pPr>
              <w:rPr>
                <w:lang w:val="en-US" w:eastAsia="ja-JP"/>
              </w:rPr>
            </w:pPr>
            <w:proofErr w:type="spellStart"/>
            <w:r>
              <w:rPr>
                <w:lang w:val="en-US" w:eastAsia="ja-JP"/>
              </w:rPr>
              <w:t>Partnerschappen</w:t>
            </w:r>
            <w:proofErr w:type="spellEnd"/>
          </w:p>
        </w:tc>
        <w:tc>
          <w:tcPr>
            <w:tcW w:w="840" w:type="dxa"/>
            <w:tcBorders>
              <w:top w:val="single" w:sz="4" w:space="0" w:color="auto"/>
              <w:left w:val="single" w:sz="4" w:space="0" w:color="auto"/>
              <w:bottom w:val="single" w:sz="4" w:space="0" w:color="auto"/>
              <w:right w:val="single" w:sz="4" w:space="0" w:color="auto"/>
            </w:tcBorders>
            <w:vAlign w:val="center"/>
          </w:tcPr>
          <w:p w14:paraId="7AF0AE1E" w14:textId="77777777" w:rsidR="0002330E" w:rsidRDefault="0002330E" w:rsidP="0002330E">
            <w:pPr>
              <w:jc w:val="center"/>
              <w:rPr>
                <w:lang w:val="en-US" w:eastAsia="ja-JP"/>
              </w:rPr>
            </w:pPr>
            <w:r>
              <w:rPr>
                <w:lang w:val="en-US" w:eastAsia="ja-JP"/>
              </w:rPr>
              <w:t>4</w:t>
            </w:r>
          </w:p>
        </w:tc>
        <w:tc>
          <w:tcPr>
            <w:tcW w:w="1466" w:type="dxa"/>
            <w:tcBorders>
              <w:top w:val="single" w:sz="4" w:space="0" w:color="auto"/>
              <w:left w:val="single" w:sz="4" w:space="0" w:color="auto"/>
              <w:bottom w:val="single" w:sz="4" w:space="0" w:color="auto"/>
              <w:right w:val="single" w:sz="12" w:space="0" w:color="auto"/>
            </w:tcBorders>
            <w:vAlign w:val="center"/>
          </w:tcPr>
          <w:p w14:paraId="7E54B7B8" w14:textId="77777777" w:rsidR="0002330E" w:rsidRPr="001C7B4B" w:rsidRDefault="0002330E" w:rsidP="0002330E">
            <w:pPr>
              <w:jc w:val="center"/>
            </w:pPr>
            <w:r>
              <w:sym w:font="Wingdings" w:char="F0E9"/>
            </w:r>
          </w:p>
        </w:tc>
      </w:tr>
      <w:tr w:rsidR="0002330E" w14:paraId="0F037A60" w14:textId="77777777" w:rsidTr="0002330E">
        <w:tc>
          <w:tcPr>
            <w:tcW w:w="5344" w:type="dxa"/>
            <w:tcBorders>
              <w:top w:val="single" w:sz="4" w:space="0" w:color="auto"/>
              <w:left w:val="single" w:sz="12" w:space="0" w:color="auto"/>
              <w:bottom w:val="single" w:sz="4" w:space="0" w:color="auto"/>
              <w:right w:val="single" w:sz="4" w:space="0" w:color="auto"/>
            </w:tcBorders>
            <w:hideMark/>
          </w:tcPr>
          <w:p w14:paraId="47BDBFDB" w14:textId="77777777" w:rsidR="0002330E" w:rsidRDefault="0002330E" w:rsidP="0002330E">
            <w:pPr>
              <w:rPr>
                <w:lang w:val="en-US" w:eastAsia="ja-JP"/>
              </w:rPr>
            </w:pPr>
            <w:proofErr w:type="spellStart"/>
            <w:r>
              <w:rPr>
                <w:lang w:val="en-US" w:eastAsia="ja-JP"/>
              </w:rPr>
              <w:t>Operationeel</w:t>
            </w:r>
            <w:proofErr w:type="spellEnd"/>
            <w:r>
              <w:rPr>
                <w:lang w:val="en-US" w:eastAsia="ja-JP"/>
              </w:rPr>
              <w:t xml:space="preserve"> management</w:t>
            </w:r>
          </w:p>
        </w:tc>
        <w:tc>
          <w:tcPr>
            <w:tcW w:w="840" w:type="dxa"/>
            <w:tcBorders>
              <w:top w:val="single" w:sz="4" w:space="0" w:color="auto"/>
              <w:left w:val="single" w:sz="4" w:space="0" w:color="auto"/>
              <w:bottom w:val="single" w:sz="4" w:space="0" w:color="auto"/>
              <w:right w:val="single" w:sz="4" w:space="0" w:color="auto"/>
            </w:tcBorders>
            <w:vAlign w:val="center"/>
          </w:tcPr>
          <w:p w14:paraId="55761B22" w14:textId="77777777" w:rsidR="0002330E" w:rsidRDefault="0002330E" w:rsidP="0002330E">
            <w:pPr>
              <w:jc w:val="center"/>
              <w:rPr>
                <w:lang w:val="en-US" w:eastAsia="ja-JP"/>
              </w:rPr>
            </w:pPr>
            <w:r>
              <w:rPr>
                <w:lang w:val="en-US" w:eastAsia="ja-JP"/>
              </w:rPr>
              <w:t>3</w:t>
            </w:r>
          </w:p>
        </w:tc>
        <w:tc>
          <w:tcPr>
            <w:tcW w:w="1466" w:type="dxa"/>
            <w:tcBorders>
              <w:top w:val="single" w:sz="4" w:space="0" w:color="auto"/>
              <w:left w:val="single" w:sz="4" w:space="0" w:color="auto"/>
              <w:bottom w:val="single" w:sz="4" w:space="0" w:color="auto"/>
              <w:right w:val="single" w:sz="12" w:space="0" w:color="auto"/>
            </w:tcBorders>
            <w:vAlign w:val="center"/>
          </w:tcPr>
          <w:p w14:paraId="2EFBDABE" w14:textId="74B0FF28" w:rsidR="0002330E" w:rsidRDefault="00A6710B" w:rsidP="00A6710B">
            <w:pPr>
              <w:jc w:val="center"/>
              <w:rPr>
                <w:lang w:val="en-US" w:eastAsia="ja-JP"/>
              </w:rPr>
            </w:pPr>
            <w:r w:rsidRPr="00193994">
              <w:sym w:font="Wingdings" w:char="F0E8"/>
            </w:r>
            <w:r>
              <w:rPr>
                <w:lang w:val="en-US" w:eastAsia="ja-JP"/>
              </w:rPr>
              <w:t xml:space="preserve"> </w:t>
            </w:r>
          </w:p>
        </w:tc>
      </w:tr>
      <w:tr w:rsidR="0002330E" w14:paraId="2C79AAC7" w14:textId="77777777" w:rsidTr="0002330E">
        <w:tc>
          <w:tcPr>
            <w:tcW w:w="5344" w:type="dxa"/>
            <w:tcBorders>
              <w:top w:val="single" w:sz="4" w:space="0" w:color="auto"/>
              <w:left w:val="single" w:sz="12" w:space="0" w:color="auto"/>
              <w:bottom w:val="single" w:sz="4" w:space="0" w:color="auto"/>
              <w:right w:val="single" w:sz="4" w:space="0" w:color="auto"/>
            </w:tcBorders>
            <w:hideMark/>
          </w:tcPr>
          <w:p w14:paraId="5C101EB3" w14:textId="77777777" w:rsidR="0002330E" w:rsidRDefault="0002330E" w:rsidP="0002330E">
            <w:pPr>
              <w:rPr>
                <w:lang w:val="en-US" w:eastAsia="ja-JP"/>
              </w:rPr>
            </w:pPr>
            <w:proofErr w:type="spellStart"/>
            <w:r>
              <w:rPr>
                <w:lang w:val="en-US" w:eastAsia="ja-JP"/>
              </w:rPr>
              <w:t>Beleidsevaluatie</w:t>
            </w:r>
            <w:proofErr w:type="spellEnd"/>
          </w:p>
        </w:tc>
        <w:tc>
          <w:tcPr>
            <w:tcW w:w="840" w:type="dxa"/>
            <w:tcBorders>
              <w:top w:val="single" w:sz="4" w:space="0" w:color="auto"/>
              <w:left w:val="single" w:sz="4" w:space="0" w:color="auto"/>
              <w:bottom w:val="single" w:sz="4" w:space="0" w:color="auto"/>
              <w:right w:val="single" w:sz="4" w:space="0" w:color="auto"/>
            </w:tcBorders>
            <w:vAlign w:val="center"/>
          </w:tcPr>
          <w:p w14:paraId="71769F87" w14:textId="77777777" w:rsidR="0002330E" w:rsidRDefault="0002330E" w:rsidP="0002330E">
            <w:pPr>
              <w:jc w:val="center"/>
              <w:rPr>
                <w:lang w:val="en-US" w:eastAsia="ja-JP"/>
              </w:rPr>
            </w:pPr>
            <w:r>
              <w:rPr>
                <w:lang w:val="en-US" w:eastAsia="ja-JP"/>
              </w:rPr>
              <w:t>3</w:t>
            </w:r>
          </w:p>
        </w:tc>
        <w:tc>
          <w:tcPr>
            <w:tcW w:w="1466" w:type="dxa"/>
            <w:tcBorders>
              <w:top w:val="single" w:sz="4" w:space="0" w:color="auto"/>
              <w:left w:val="single" w:sz="4" w:space="0" w:color="auto"/>
              <w:bottom w:val="single" w:sz="4" w:space="0" w:color="auto"/>
              <w:right w:val="single" w:sz="12" w:space="0" w:color="auto"/>
            </w:tcBorders>
            <w:vAlign w:val="center"/>
          </w:tcPr>
          <w:p w14:paraId="6ED2EA76" w14:textId="77777777" w:rsidR="0002330E" w:rsidRDefault="0002330E" w:rsidP="0002330E">
            <w:pPr>
              <w:jc w:val="center"/>
              <w:rPr>
                <w:lang w:val="en-US" w:eastAsia="ja-JP"/>
              </w:rPr>
            </w:pPr>
            <w:r>
              <w:sym w:font="Wingdings" w:char="F0E8"/>
            </w:r>
          </w:p>
        </w:tc>
      </w:tr>
      <w:tr w:rsidR="0002330E" w14:paraId="195CFDE6" w14:textId="77777777" w:rsidTr="0002330E">
        <w:tc>
          <w:tcPr>
            <w:tcW w:w="5344" w:type="dxa"/>
            <w:tcBorders>
              <w:top w:val="single" w:sz="4" w:space="0" w:color="auto"/>
              <w:left w:val="single" w:sz="12" w:space="0" w:color="auto"/>
              <w:bottom w:val="single" w:sz="4" w:space="0" w:color="auto"/>
              <w:right w:val="single" w:sz="4" w:space="0" w:color="auto"/>
            </w:tcBorders>
            <w:hideMark/>
          </w:tcPr>
          <w:p w14:paraId="6070FF0F" w14:textId="77777777" w:rsidR="0002330E" w:rsidRPr="0023111C" w:rsidRDefault="0002330E" w:rsidP="0002330E">
            <w:pPr>
              <w:rPr>
                <w:i/>
                <w:lang w:val="en-US" w:eastAsia="ja-JP"/>
              </w:rPr>
            </w:pPr>
            <w:r w:rsidRPr="0023111C">
              <w:rPr>
                <w:i/>
                <w:lang w:val="en-US" w:eastAsia="ja-JP"/>
              </w:rPr>
              <w:t>Human Resource Management</w:t>
            </w:r>
          </w:p>
        </w:tc>
        <w:tc>
          <w:tcPr>
            <w:tcW w:w="840" w:type="dxa"/>
            <w:tcBorders>
              <w:top w:val="single" w:sz="4" w:space="0" w:color="auto"/>
              <w:left w:val="single" w:sz="4" w:space="0" w:color="auto"/>
              <w:bottom w:val="single" w:sz="4" w:space="0" w:color="auto"/>
              <w:right w:val="single" w:sz="4" w:space="0" w:color="auto"/>
            </w:tcBorders>
            <w:vAlign w:val="center"/>
          </w:tcPr>
          <w:p w14:paraId="69F5D9CF" w14:textId="2BECE9CC" w:rsidR="0002330E" w:rsidRDefault="007172A3" w:rsidP="0002330E">
            <w:pPr>
              <w:jc w:val="center"/>
              <w:rPr>
                <w:lang w:val="en-US" w:eastAsia="ja-JP"/>
              </w:rPr>
            </w:pPr>
            <w:r>
              <w:rPr>
                <w:lang w:val="en-US" w:eastAsia="ja-JP"/>
              </w:rPr>
              <w:t>4</w:t>
            </w:r>
          </w:p>
        </w:tc>
        <w:tc>
          <w:tcPr>
            <w:tcW w:w="1466" w:type="dxa"/>
            <w:tcBorders>
              <w:top w:val="single" w:sz="4" w:space="0" w:color="auto"/>
              <w:left w:val="single" w:sz="4" w:space="0" w:color="auto"/>
              <w:bottom w:val="single" w:sz="4" w:space="0" w:color="auto"/>
              <w:right w:val="single" w:sz="12" w:space="0" w:color="auto"/>
            </w:tcBorders>
            <w:vAlign w:val="center"/>
          </w:tcPr>
          <w:p w14:paraId="17B1C19A" w14:textId="51615089" w:rsidR="0002330E" w:rsidRDefault="007172A3" w:rsidP="0002330E">
            <w:pPr>
              <w:jc w:val="center"/>
              <w:rPr>
                <w:lang w:val="en-US" w:eastAsia="ja-JP"/>
              </w:rPr>
            </w:pPr>
            <w:r w:rsidRPr="00193994">
              <w:sym w:font="Wingdings" w:char="F0E9"/>
            </w:r>
          </w:p>
        </w:tc>
      </w:tr>
      <w:tr w:rsidR="0002330E" w14:paraId="6553992D" w14:textId="77777777" w:rsidTr="0002330E">
        <w:tc>
          <w:tcPr>
            <w:tcW w:w="5344" w:type="dxa"/>
            <w:tcBorders>
              <w:top w:val="single" w:sz="4" w:space="0" w:color="auto"/>
              <w:left w:val="single" w:sz="12" w:space="0" w:color="auto"/>
              <w:bottom w:val="single" w:sz="4" w:space="0" w:color="auto"/>
              <w:right w:val="single" w:sz="4" w:space="0" w:color="auto"/>
            </w:tcBorders>
            <w:hideMark/>
          </w:tcPr>
          <w:p w14:paraId="5280447F" w14:textId="77777777" w:rsidR="0002330E" w:rsidRDefault="0002330E" w:rsidP="0002330E">
            <w:pPr>
              <w:rPr>
                <w:lang w:val="en-US" w:eastAsia="ja-JP"/>
              </w:rPr>
            </w:pPr>
            <w:proofErr w:type="spellStart"/>
            <w:r>
              <w:rPr>
                <w:lang w:val="en-US" w:eastAsia="ja-JP"/>
              </w:rPr>
              <w:t>Financiële</w:t>
            </w:r>
            <w:proofErr w:type="spellEnd"/>
            <w:r>
              <w:rPr>
                <w:lang w:val="en-US" w:eastAsia="ja-JP"/>
              </w:rPr>
              <w:t xml:space="preserve"> </w:t>
            </w:r>
            <w:proofErr w:type="spellStart"/>
            <w:r>
              <w:rPr>
                <w:lang w:val="en-US" w:eastAsia="ja-JP"/>
              </w:rPr>
              <w:t>stabiliteit</w:t>
            </w:r>
            <w:proofErr w:type="spellEnd"/>
          </w:p>
        </w:tc>
        <w:tc>
          <w:tcPr>
            <w:tcW w:w="840" w:type="dxa"/>
            <w:tcBorders>
              <w:top w:val="single" w:sz="4" w:space="0" w:color="auto"/>
              <w:left w:val="single" w:sz="4" w:space="0" w:color="auto"/>
              <w:bottom w:val="single" w:sz="4" w:space="0" w:color="auto"/>
              <w:right w:val="single" w:sz="4" w:space="0" w:color="auto"/>
            </w:tcBorders>
            <w:vAlign w:val="center"/>
          </w:tcPr>
          <w:p w14:paraId="1DD096A7" w14:textId="77777777" w:rsidR="0002330E" w:rsidRDefault="0002330E" w:rsidP="0002330E">
            <w:pPr>
              <w:jc w:val="center"/>
              <w:rPr>
                <w:lang w:val="en-US" w:eastAsia="ja-JP"/>
              </w:rPr>
            </w:pPr>
            <w:r>
              <w:rPr>
                <w:lang w:val="en-US" w:eastAsia="ja-JP"/>
              </w:rPr>
              <w:t>3</w:t>
            </w:r>
          </w:p>
        </w:tc>
        <w:tc>
          <w:tcPr>
            <w:tcW w:w="1466" w:type="dxa"/>
            <w:tcBorders>
              <w:top w:val="single" w:sz="4" w:space="0" w:color="auto"/>
              <w:left w:val="single" w:sz="4" w:space="0" w:color="auto"/>
              <w:bottom w:val="single" w:sz="4" w:space="0" w:color="auto"/>
              <w:right w:val="single" w:sz="12" w:space="0" w:color="auto"/>
            </w:tcBorders>
            <w:vAlign w:val="center"/>
          </w:tcPr>
          <w:p w14:paraId="66304854" w14:textId="77777777" w:rsidR="0002330E" w:rsidRDefault="0002330E" w:rsidP="0002330E">
            <w:pPr>
              <w:jc w:val="center"/>
              <w:rPr>
                <w:lang w:val="en-US" w:eastAsia="ja-JP"/>
              </w:rPr>
            </w:pPr>
            <w:r>
              <w:sym w:font="Wingdings" w:char="F0E8"/>
            </w:r>
          </w:p>
        </w:tc>
      </w:tr>
      <w:tr w:rsidR="0002330E" w14:paraId="54E1B538" w14:textId="77777777" w:rsidTr="0002330E">
        <w:tc>
          <w:tcPr>
            <w:tcW w:w="5344" w:type="dxa"/>
            <w:tcBorders>
              <w:top w:val="single" w:sz="4" w:space="0" w:color="auto"/>
              <w:left w:val="single" w:sz="12" w:space="0" w:color="auto"/>
              <w:bottom w:val="single" w:sz="4" w:space="0" w:color="auto"/>
              <w:right w:val="single" w:sz="4" w:space="0" w:color="auto"/>
            </w:tcBorders>
            <w:hideMark/>
          </w:tcPr>
          <w:p w14:paraId="4BDDE81F" w14:textId="3E26DC6C" w:rsidR="0002330E" w:rsidRDefault="00D937E1" w:rsidP="00D937E1">
            <w:pPr>
              <w:rPr>
                <w:lang w:val="en-US" w:eastAsia="ja-JP"/>
              </w:rPr>
            </w:pPr>
            <w:proofErr w:type="spellStart"/>
            <w:r>
              <w:rPr>
                <w:lang w:val="en-US" w:eastAsia="ja-JP"/>
              </w:rPr>
              <w:t>Kostenreductie</w:t>
            </w:r>
            <w:proofErr w:type="spellEnd"/>
          </w:p>
        </w:tc>
        <w:tc>
          <w:tcPr>
            <w:tcW w:w="840" w:type="dxa"/>
            <w:tcBorders>
              <w:top w:val="single" w:sz="4" w:space="0" w:color="auto"/>
              <w:left w:val="single" w:sz="4" w:space="0" w:color="auto"/>
              <w:bottom w:val="single" w:sz="4" w:space="0" w:color="auto"/>
              <w:right w:val="single" w:sz="4" w:space="0" w:color="auto"/>
            </w:tcBorders>
            <w:vAlign w:val="center"/>
          </w:tcPr>
          <w:p w14:paraId="1B1EBF9C" w14:textId="0C0E60BE" w:rsidR="0002330E" w:rsidRDefault="007172A3" w:rsidP="0002330E">
            <w:pPr>
              <w:jc w:val="center"/>
              <w:rPr>
                <w:lang w:val="en-US" w:eastAsia="ja-JP"/>
              </w:rPr>
            </w:pPr>
            <w:r>
              <w:rPr>
                <w:lang w:val="en-US" w:eastAsia="ja-JP"/>
              </w:rPr>
              <w:t>4</w:t>
            </w:r>
          </w:p>
        </w:tc>
        <w:tc>
          <w:tcPr>
            <w:tcW w:w="1466" w:type="dxa"/>
            <w:tcBorders>
              <w:top w:val="single" w:sz="4" w:space="0" w:color="auto"/>
              <w:left w:val="single" w:sz="4" w:space="0" w:color="auto"/>
              <w:bottom w:val="single" w:sz="4" w:space="0" w:color="auto"/>
              <w:right w:val="single" w:sz="12" w:space="0" w:color="auto"/>
            </w:tcBorders>
            <w:vAlign w:val="center"/>
          </w:tcPr>
          <w:p w14:paraId="05A98F0E" w14:textId="05FDE131" w:rsidR="0002330E" w:rsidRDefault="00A6710B" w:rsidP="00A6710B">
            <w:pPr>
              <w:jc w:val="center"/>
              <w:rPr>
                <w:lang w:val="en-US" w:eastAsia="ja-JP"/>
              </w:rPr>
            </w:pPr>
            <w:r w:rsidRPr="00193994">
              <w:sym w:font="Wingdings" w:char="F0E9"/>
            </w:r>
            <w:r>
              <w:rPr>
                <w:lang w:val="en-US" w:eastAsia="ja-JP"/>
              </w:rPr>
              <w:t xml:space="preserve"> </w:t>
            </w:r>
          </w:p>
        </w:tc>
      </w:tr>
      <w:tr w:rsidR="0002330E" w14:paraId="661145FD" w14:textId="77777777" w:rsidTr="0002330E">
        <w:tc>
          <w:tcPr>
            <w:tcW w:w="5344" w:type="dxa"/>
            <w:tcBorders>
              <w:top w:val="single" w:sz="4" w:space="0" w:color="auto"/>
              <w:left w:val="single" w:sz="12" w:space="0" w:color="auto"/>
              <w:bottom w:val="single" w:sz="12" w:space="0" w:color="auto"/>
              <w:right w:val="single" w:sz="4" w:space="0" w:color="auto"/>
            </w:tcBorders>
            <w:hideMark/>
          </w:tcPr>
          <w:p w14:paraId="6FFC3006" w14:textId="77777777" w:rsidR="0002330E" w:rsidRDefault="0002330E" w:rsidP="0002330E">
            <w:pPr>
              <w:rPr>
                <w:lang w:val="en-US" w:eastAsia="ja-JP"/>
              </w:rPr>
            </w:pPr>
            <w:proofErr w:type="spellStart"/>
            <w:r>
              <w:rPr>
                <w:lang w:val="en-US" w:eastAsia="ja-JP"/>
              </w:rPr>
              <w:t>Corruptiebestrijding</w:t>
            </w:r>
            <w:proofErr w:type="spellEnd"/>
            <w:r>
              <w:rPr>
                <w:lang w:val="en-US" w:eastAsia="ja-JP"/>
              </w:rPr>
              <w:t xml:space="preserve"> </w:t>
            </w:r>
            <w:proofErr w:type="spellStart"/>
            <w:r>
              <w:rPr>
                <w:lang w:val="en-US" w:eastAsia="ja-JP"/>
              </w:rPr>
              <w:t>en</w:t>
            </w:r>
            <w:proofErr w:type="spellEnd"/>
            <w:r>
              <w:rPr>
                <w:lang w:val="en-US" w:eastAsia="ja-JP"/>
              </w:rPr>
              <w:t xml:space="preserve"> </w:t>
            </w:r>
            <w:r w:rsidRPr="00E942F5">
              <w:rPr>
                <w:i/>
                <w:lang w:val="en-US" w:eastAsia="ja-JP"/>
              </w:rPr>
              <w:t>accountability</w:t>
            </w:r>
          </w:p>
        </w:tc>
        <w:tc>
          <w:tcPr>
            <w:tcW w:w="840" w:type="dxa"/>
            <w:tcBorders>
              <w:top w:val="single" w:sz="4" w:space="0" w:color="auto"/>
              <w:left w:val="single" w:sz="4" w:space="0" w:color="auto"/>
              <w:bottom w:val="single" w:sz="12" w:space="0" w:color="auto"/>
              <w:right w:val="single" w:sz="4" w:space="0" w:color="auto"/>
            </w:tcBorders>
            <w:vAlign w:val="center"/>
          </w:tcPr>
          <w:p w14:paraId="38CB3D82" w14:textId="77777777" w:rsidR="0002330E" w:rsidRDefault="0002330E" w:rsidP="0002330E">
            <w:pPr>
              <w:jc w:val="center"/>
              <w:rPr>
                <w:lang w:val="en-US" w:eastAsia="ja-JP"/>
              </w:rPr>
            </w:pPr>
            <w:r>
              <w:rPr>
                <w:lang w:val="en-US" w:eastAsia="ja-JP"/>
              </w:rPr>
              <w:t>3</w:t>
            </w:r>
          </w:p>
        </w:tc>
        <w:tc>
          <w:tcPr>
            <w:tcW w:w="1466" w:type="dxa"/>
            <w:tcBorders>
              <w:top w:val="single" w:sz="4" w:space="0" w:color="auto"/>
              <w:left w:val="single" w:sz="4" w:space="0" w:color="auto"/>
              <w:bottom w:val="single" w:sz="12" w:space="0" w:color="auto"/>
              <w:right w:val="single" w:sz="12" w:space="0" w:color="auto"/>
            </w:tcBorders>
            <w:vAlign w:val="center"/>
          </w:tcPr>
          <w:p w14:paraId="68036A48" w14:textId="49E57D0B" w:rsidR="0002330E" w:rsidRDefault="0002330E" w:rsidP="0002330E">
            <w:pPr>
              <w:jc w:val="center"/>
              <w:rPr>
                <w:lang w:val="en-US" w:eastAsia="ja-JP"/>
              </w:rPr>
            </w:pPr>
            <w:r>
              <w:sym w:font="Wingdings" w:char="F0E8"/>
            </w:r>
          </w:p>
        </w:tc>
      </w:tr>
    </w:tbl>
    <w:p w14:paraId="3FB6E216" w14:textId="39953707" w:rsidR="000537C6" w:rsidRDefault="000537C6" w:rsidP="000537C6"/>
    <w:p w14:paraId="266CF43F" w14:textId="77777777" w:rsidR="0002330E" w:rsidRDefault="0002330E" w:rsidP="0002330E">
      <w:pPr>
        <w:ind w:left="227"/>
      </w:pPr>
      <w:r>
        <w:t>Beoordeling: Onvoldoende = 1, Matig = 2, Voldoende = 3, Goed = 4</w:t>
      </w:r>
    </w:p>
    <w:p w14:paraId="3CE2D76C" w14:textId="52105C1E" w:rsidR="0002330E" w:rsidRDefault="0002330E" w:rsidP="0002330E">
      <w:pPr>
        <w:ind w:left="227"/>
      </w:pPr>
      <w:r>
        <w:t xml:space="preserve">Verandering sinds 2015: </w:t>
      </w:r>
      <w:r w:rsidR="00A6710B">
        <w:t>P</w:t>
      </w:r>
      <w:r>
        <w:t xml:space="preserve">ositief =  </w:t>
      </w:r>
      <w:r>
        <w:sym w:font="Wingdings" w:char="F0E9"/>
      </w:r>
      <w:r w:rsidR="00A6710B">
        <w:t>, N</w:t>
      </w:r>
      <w:r>
        <w:t xml:space="preserve">eutraal = </w:t>
      </w:r>
      <w:r>
        <w:sym w:font="Wingdings" w:char="F0E8"/>
      </w:r>
      <w:r w:rsidR="00A6710B">
        <w:t>, N</w:t>
      </w:r>
      <w:r>
        <w:t xml:space="preserve">egatief = </w:t>
      </w:r>
      <w:r>
        <w:rPr>
          <w:rFonts w:ascii="Segoe UI Emoji" w:eastAsia="Segoe UI Emoji" w:hAnsi="Segoe UI Emoji" w:cs="Segoe UI Emoji"/>
          <w:b/>
        </w:rPr>
        <w:sym w:font="Wingdings" w:char="F0EA"/>
      </w:r>
    </w:p>
    <w:p w14:paraId="2C6CE2E2" w14:textId="77777777" w:rsidR="0002330E" w:rsidRDefault="0002330E" w:rsidP="000537C6"/>
    <w:p w14:paraId="660C4466" w14:textId="6A65230F" w:rsidR="000537C6" w:rsidRDefault="000537C6" w:rsidP="000537C6">
      <w:pPr>
        <w:pStyle w:val="Heading2"/>
        <w:tabs>
          <w:tab w:val="left" w:pos="-1162"/>
          <w:tab w:val="left" w:pos="0"/>
          <w:tab w:val="num" w:pos="1160"/>
        </w:tabs>
        <w:spacing w:line="240" w:lineRule="auto"/>
        <w:ind w:hanging="1162"/>
      </w:pPr>
      <w:bookmarkStart w:id="24" w:name="_Toc410397641"/>
      <w:bookmarkStart w:id="25" w:name="_Toc479602620"/>
      <w:bookmarkStart w:id="26" w:name="_Toc491442781"/>
      <w:r>
        <w:lastRenderedPageBreak/>
        <w:t xml:space="preserve">1.2 </w:t>
      </w:r>
      <w:r>
        <w:tab/>
        <w:t>Beleidsrelevantie</w:t>
      </w:r>
      <w:bookmarkEnd w:id="24"/>
      <w:bookmarkEnd w:id="25"/>
      <w:bookmarkEnd w:id="26"/>
    </w:p>
    <w:p w14:paraId="79496C21" w14:textId="36513C68" w:rsidR="00343296" w:rsidRDefault="000537C6" w:rsidP="00C31690">
      <w:r>
        <w:t>Het mandaat van UNODC sluit naadloos aan bij de doelstellingen onder SDG 16 van de 2030 agenda: Vrede</w:t>
      </w:r>
      <w:r w:rsidR="00C31690">
        <w:t>,</w:t>
      </w:r>
      <w:r>
        <w:t xml:space="preserve"> justitie en sterke instituties. Het werk van UNODC is met name gericht op het veiliger maken van de wereld door capaciteitsopbouw en internationale samenwerking. Daarmee is het werk van UNODC niet altijd specif</w:t>
      </w:r>
      <w:r w:rsidR="00E84222">
        <w:t>i</w:t>
      </w:r>
      <w:r>
        <w:t xml:space="preserve">ek gericht op ontwikkelingssamenwerking. Echter, door de juiste omstandigheden te scheppen in orde en rechtstaat helpt UNODC mee aan een situatie waarin ontwikkelingsprocessen beter kunnen gedijen. Waar UNODC vroeger voornamelijk op de rechtshandhaving opereerde wordt steeds meer naar het bredere kader van opbouw en ontwikkeling gekeken. </w:t>
      </w:r>
    </w:p>
    <w:p w14:paraId="6A443E45" w14:textId="0FC21428" w:rsidR="000537C6" w:rsidRPr="003F26FC" w:rsidRDefault="00C31690" w:rsidP="000537C6">
      <w:r>
        <w:t xml:space="preserve">Ook draagt het werk van UNODC aan de </w:t>
      </w:r>
      <w:r w:rsidR="00135C94">
        <w:t xml:space="preserve">beleidsprioriteiten van Nederlands en de </w:t>
      </w:r>
      <w:proofErr w:type="spellStart"/>
      <w:r>
        <w:t>SDG</w:t>
      </w:r>
      <w:r w:rsidR="00E942F5">
        <w:t>’</w:t>
      </w:r>
      <w:r>
        <w:t>s</w:t>
      </w:r>
      <w:proofErr w:type="spellEnd"/>
      <w:r w:rsidR="00135C94">
        <w:t xml:space="preserve"> van de VN</w:t>
      </w:r>
      <w:r>
        <w:t xml:space="preserve"> over Seksuele en Reproductieve Gezondheid en Rechten</w:t>
      </w:r>
      <w:r w:rsidR="00B46434">
        <w:t xml:space="preserve"> (SDG 3)</w:t>
      </w:r>
      <w:r>
        <w:t xml:space="preserve"> door al het werk op het </w:t>
      </w:r>
      <w:r w:rsidR="00E942F5">
        <w:t>gebied van aids</w:t>
      </w:r>
      <w:r w:rsidR="00343296">
        <w:t>/</w:t>
      </w:r>
      <w:r w:rsidR="00E942F5">
        <w:t>hiv</w:t>
      </w:r>
      <w:r w:rsidR="0023111C">
        <w:t>-bestrijding</w:t>
      </w:r>
      <w:r w:rsidR="00135C94">
        <w:t>. Daarnaast zi</w:t>
      </w:r>
      <w:r w:rsidR="00E84222">
        <w:t xml:space="preserve">jn er nog een aantal andere </w:t>
      </w:r>
      <w:proofErr w:type="spellStart"/>
      <w:r w:rsidR="00E84222">
        <w:t>SDG</w:t>
      </w:r>
      <w:r w:rsidR="0023111C">
        <w:t>’</w:t>
      </w:r>
      <w:r w:rsidR="00135C94">
        <w:t>s</w:t>
      </w:r>
      <w:proofErr w:type="spellEnd"/>
      <w:r w:rsidR="00135C94">
        <w:t xml:space="preserve"> waar UNODC zich op richt zijn</w:t>
      </w:r>
      <w:r>
        <w:t xml:space="preserve"> gendergelijkheid </w:t>
      </w:r>
      <w:r w:rsidR="00343296">
        <w:t>(SDG5) zoals het beschermen van de rechten van vrouwen</w:t>
      </w:r>
      <w:r w:rsidR="00135C94">
        <w:t xml:space="preserve"> en meisjes; </w:t>
      </w:r>
      <w:r>
        <w:t>en klimaat</w:t>
      </w:r>
      <w:r w:rsidR="00343296">
        <w:t xml:space="preserve"> (SDG 14 en 15) </w:t>
      </w:r>
      <w:r>
        <w:t>bijvoorbeeld door tege</w:t>
      </w:r>
      <w:r w:rsidR="00343296">
        <w:t>ngaan van jacht op wilde dieren, het strafbaar maken van illegale houtkap en illegale visserij</w:t>
      </w:r>
      <w:r>
        <w:t>.</w:t>
      </w:r>
    </w:p>
    <w:p w14:paraId="5715BDDF" w14:textId="77777777" w:rsidR="000537C6" w:rsidRDefault="000537C6" w:rsidP="000537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39"/>
        <w:gridCol w:w="1901"/>
        <w:gridCol w:w="36"/>
        <w:gridCol w:w="1907"/>
        <w:gridCol w:w="41"/>
        <w:gridCol w:w="1937"/>
      </w:tblGrid>
      <w:tr w:rsidR="000537C6" w14:paraId="522BCBDE" w14:textId="77777777" w:rsidTr="009A3ADF">
        <w:tc>
          <w:tcPr>
            <w:tcW w:w="1984" w:type="dxa"/>
            <w:gridSpan w:val="2"/>
            <w:tcBorders>
              <w:top w:val="single" w:sz="12" w:space="0" w:color="auto"/>
              <w:left w:val="single" w:sz="12" w:space="0" w:color="auto"/>
              <w:bottom w:val="single" w:sz="12" w:space="0" w:color="auto"/>
            </w:tcBorders>
            <w:shd w:val="clear" w:color="auto" w:fill="BFBFBF" w:themeFill="background1" w:themeFillShade="BF"/>
          </w:tcPr>
          <w:p w14:paraId="782207EC" w14:textId="77777777" w:rsidR="000537C6" w:rsidRDefault="000537C6" w:rsidP="0015548E">
            <w:pPr>
              <w:jc w:val="right"/>
            </w:pPr>
          </w:p>
        </w:tc>
        <w:tc>
          <w:tcPr>
            <w:tcW w:w="1937" w:type="dxa"/>
            <w:gridSpan w:val="2"/>
            <w:tcBorders>
              <w:top w:val="single" w:sz="12" w:space="0" w:color="auto"/>
              <w:bottom w:val="single" w:sz="12" w:space="0" w:color="auto"/>
            </w:tcBorders>
            <w:shd w:val="clear" w:color="auto" w:fill="BFBFBF" w:themeFill="background1" w:themeFillShade="BF"/>
          </w:tcPr>
          <w:p w14:paraId="4C96E8DC" w14:textId="77777777" w:rsidR="000537C6" w:rsidRPr="00D94DB4" w:rsidRDefault="000537C6" w:rsidP="0015548E">
            <w:pPr>
              <w:rPr>
                <w:b/>
              </w:rPr>
            </w:pPr>
            <w:r w:rsidRPr="00D94DB4">
              <w:rPr>
                <w:b/>
              </w:rPr>
              <w:t>Uitvoerend</w:t>
            </w:r>
          </w:p>
        </w:tc>
        <w:tc>
          <w:tcPr>
            <w:tcW w:w="1948" w:type="dxa"/>
            <w:gridSpan w:val="2"/>
            <w:tcBorders>
              <w:top w:val="single" w:sz="12" w:space="0" w:color="auto"/>
              <w:bottom w:val="single" w:sz="12" w:space="0" w:color="auto"/>
            </w:tcBorders>
            <w:shd w:val="clear" w:color="auto" w:fill="BFBFBF" w:themeFill="background1" w:themeFillShade="BF"/>
          </w:tcPr>
          <w:p w14:paraId="54703123" w14:textId="77777777" w:rsidR="000537C6" w:rsidRPr="00D94DB4" w:rsidRDefault="000537C6" w:rsidP="0015548E">
            <w:pPr>
              <w:rPr>
                <w:b/>
              </w:rPr>
            </w:pPr>
            <w:r w:rsidRPr="00D94DB4">
              <w:rPr>
                <w:b/>
              </w:rPr>
              <w:t>Coördinerend</w:t>
            </w:r>
          </w:p>
        </w:tc>
        <w:tc>
          <w:tcPr>
            <w:tcW w:w="1937" w:type="dxa"/>
            <w:tcBorders>
              <w:top w:val="single" w:sz="12" w:space="0" w:color="auto"/>
              <w:bottom w:val="single" w:sz="12" w:space="0" w:color="auto"/>
              <w:right w:val="single" w:sz="12" w:space="0" w:color="auto"/>
            </w:tcBorders>
            <w:shd w:val="clear" w:color="auto" w:fill="BFBFBF" w:themeFill="background1" w:themeFillShade="BF"/>
          </w:tcPr>
          <w:p w14:paraId="6F19F729" w14:textId="77777777" w:rsidR="000537C6" w:rsidRPr="00D94DB4" w:rsidRDefault="000537C6" w:rsidP="0015548E">
            <w:pPr>
              <w:rPr>
                <w:b/>
              </w:rPr>
            </w:pPr>
            <w:r w:rsidRPr="00D94DB4">
              <w:rPr>
                <w:b/>
              </w:rPr>
              <w:t>Normatief</w:t>
            </w:r>
          </w:p>
        </w:tc>
      </w:tr>
      <w:tr w:rsidR="000537C6" w14:paraId="0C80F73C" w14:textId="77777777" w:rsidTr="009A3ADF">
        <w:tc>
          <w:tcPr>
            <w:tcW w:w="7806" w:type="dxa"/>
            <w:gridSpan w:val="7"/>
            <w:tcBorders>
              <w:top w:val="single" w:sz="12" w:space="0" w:color="auto"/>
              <w:left w:val="single" w:sz="12" w:space="0" w:color="auto"/>
              <w:right w:val="single" w:sz="12" w:space="0" w:color="auto"/>
            </w:tcBorders>
            <w:shd w:val="clear" w:color="auto" w:fill="BFBFBF" w:themeFill="background1" w:themeFillShade="BF"/>
          </w:tcPr>
          <w:p w14:paraId="202026E6" w14:textId="23CBA170" w:rsidR="000537C6" w:rsidRPr="00D94DB4" w:rsidRDefault="000537C6" w:rsidP="0015548E">
            <w:pPr>
              <w:rPr>
                <w:b/>
              </w:rPr>
            </w:pPr>
            <w:r>
              <w:rPr>
                <w:b/>
              </w:rPr>
              <w:t>Relevantie voor de Nederlandse BHOS-prioriteiten</w:t>
            </w:r>
          </w:p>
        </w:tc>
      </w:tr>
      <w:tr w:rsidR="00C31690" w14:paraId="297E1BA8" w14:textId="77777777" w:rsidTr="00750846">
        <w:tc>
          <w:tcPr>
            <w:tcW w:w="1987" w:type="dxa"/>
            <w:gridSpan w:val="2"/>
            <w:tcBorders>
              <w:top w:val="single" w:sz="12" w:space="0" w:color="auto"/>
              <w:left w:val="single" w:sz="12" w:space="0" w:color="auto"/>
            </w:tcBorders>
            <w:shd w:val="clear" w:color="auto" w:fill="auto"/>
          </w:tcPr>
          <w:p w14:paraId="4A997CAE" w14:textId="0728400F" w:rsidR="00C31690" w:rsidRDefault="00C31690" w:rsidP="00C31690">
            <w:r>
              <w:t>Veiligheid en rechtsorde</w:t>
            </w:r>
          </w:p>
        </w:tc>
        <w:tc>
          <w:tcPr>
            <w:tcW w:w="1943" w:type="dxa"/>
            <w:gridSpan w:val="2"/>
            <w:tcBorders>
              <w:top w:val="single" w:sz="12" w:space="0" w:color="auto"/>
            </w:tcBorders>
            <w:shd w:val="clear" w:color="auto" w:fill="auto"/>
          </w:tcPr>
          <w:p w14:paraId="7D510EC7" w14:textId="2E2E4163" w:rsidR="00C31690" w:rsidRDefault="00C31690" w:rsidP="00C31690">
            <w:r>
              <w:t>4</w:t>
            </w:r>
          </w:p>
        </w:tc>
        <w:tc>
          <w:tcPr>
            <w:tcW w:w="1952" w:type="dxa"/>
            <w:gridSpan w:val="2"/>
            <w:tcBorders>
              <w:top w:val="single" w:sz="12" w:space="0" w:color="auto"/>
            </w:tcBorders>
            <w:shd w:val="clear" w:color="auto" w:fill="auto"/>
          </w:tcPr>
          <w:p w14:paraId="29B0D3E4" w14:textId="3F8F46CF" w:rsidR="00C31690" w:rsidRDefault="00C31690" w:rsidP="00C31690">
            <w:r>
              <w:t>4</w:t>
            </w:r>
          </w:p>
        </w:tc>
        <w:tc>
          <w:tcPr>
            <w:tcW w:w="1944" w:type="dxa"/>
            <w:tcBorders>
              <w:top w:val="single" w:sz="12" w:space="0" w:color="auto"/>
              <w:right w:val="single" w:sz="12" w:space="0" w:color="auto"/>
            </w:tcBorders>
            <w:shd w:val="clear" w:color="auto" w:fill="auto"/>
          </w:tcPr>
          <w:p w14:paraId="7FBDA55F" w14:textId="769C56DA" w:rsidR="00C31690" w:rsidRDefault="00C31690" w:rsidP="00C31690">
            <w:r>
              <w:t>4</w:t>
            </w:r>
          </w:p>
        </w:tc>
      </w:tr>
      <w:tr w:rsidR="00C31690" w14:paraId="5F203D94" w14:textId="77777777" w:rsidTr="0002330E">
        <w:tc>
          <w:tcPr>
            <w:tcW w:w="1987" w:type="dxa"/>
            <w:gridSpan w:val="2"/>
            <w:tcBorders>
              <w:left w:val="single" w:sz="12" w:space="0" w:color="auto"/>
            </w:tcBorders>
            <w:shd w:val="clear" w:color="auto" w:fill="auto"/>
          </w:tcPr>
          <w:p w14:paraId="65F7D678" w14:textId="58765DE6" w:rsidR="00F51860" w:rsidRDefault="00C31690" w:rsidP="00C31690">
            <w:r>
              <w:t>SRGR</w:t>
            </w:r>
          </w:p>
        </w:tc>
        <w:tc>
          <w:tcPr>
            <w:tcW w:w="1943" w:type="dxa"/>
            <w:gridSpan w:val="2"/>
            <w:shd w:val="clear" w:color="auto" w:fill="auto"/>
          </w:tcPr>
          <w:p w14:paraId="6FEB9CA5" w14:textId="60972BC5" w:rsidR="00C31690" w:rsidRDefault="00413A3D" w:rsidP="00C31690">
            <w:r>
              <w:t>4</w:t>
            </w:r>
          </w:p>
        </w:tc>
        <w:tc>
          <w:tcPr>
            <w:tcW w:w="1952" w:type="dxa"/>
            <w:gridSpan w:val="2"/>
            <w:shd w:val="clear" w:color="auto" w:fill="auto"/>
          </w:tcPr>
          <w:p w14:paraId="3CE56B17" w14:textId="41C2D917" w:rsidR="00C31690" w:rsidRDefault="00C31690" w:rsidP="00C31690">
            <w:r>
              <w:t>3</w:t>
            </w:r>
          </w:p>
        </w:tc>
        <w:tc>
          <w:tcPr>
            <w:tcW w:w="1944" w:type="dxa"/>
            <w:tcBorders>
              <w:right w:val="single" w:sz="12" w:space="0" w:color="auto"/>
            </w:tcBorders>
            <w:shd w:val="clear" w:color="auto" w:fill="auto"/>
          </w:tcPr>
          <w:p w14:paraId="484A22A7" w14:textId="6B0F2C35" w:rsidR="00C31690" w:rsidRDefault="00C31690" w:rsidP="00C31690">
            <w:r>
              <w:t>3</w:t>
            </w:r>
          </w:p>
        </w:tc>
      </w:tr>
      <w:tr w:rsidR="00C31690" w14:paraId="5473224D" w14:textId="77777777" w:rsidTr="0002330E">
        <w:tc>
          <w:tcPr>
            <w:tcW w:w="1987" w:type="dxa"/>
            <w:gridSpan w:val="2"/>
            <w:tcBorders>
              <w:left w:val="single" w:sz="12" w:space="0" w:color="auto"/>
            </w:tcBorders>
            <w:shd w:val="clear" w:color="auto" w:fill="auto"/>
          </w:tcPr>
          <w:p w14:paraId="72E73998" w14:textId="201DEBBD" w:rsidR="00F51860" w:rsidRDefault="00C31690" w:rsidP="00C31690">
            <w:r>
              <w:t>Gendergelijkheid</w:t>
            </w:r>
          </w:p>
        </w:tc>
        <w:tc>
          <w:tcPr>
            <w:tcW w:w="1943" w:type="dxa"/>
            <w:gridSpan w:val="2"/>
            <w:shd w:val="clear" w:color="auto" w:fill="auto"/>
          </w:tcPr>
          <w:p w14:paraId="2B996C77" w14:textId="4A0E523B" w:rsidR="00C31690" w:rsidRDefault="00DD2BB3" w:rsidP="00C31690">
            <w:r>
              <w:t>3</w:t>
            </w:r>
          </w:p>
        </w:tc>
        <w:tc>
          <w:tcPr>
            <w:tcW w:w="1952" w:type="dxa"/>
            <w:gridSpan w:val="2"/>
            <w:shd w:val="clear" w:color="auto" w:fill="auto"/>
          </w:tcPr>
          <w:p w14:paraId="37E2C89A" w14:textId="5872DF41" w:rsidR="00C31690" w:rsidRDefault="00C31690" w:rsidP="00C31690">
            <w:r>
              <w:t>3</w:t>
            </w:r>
          </w:p>
        </w:tc>
        <w:tc>
          <w:tcPr>
            <w:tcW w:w="1944" w:type="dxa"/>
            <w:tcBorders>
              <w:right w:val="single" w:sz="12" w:space="0" w:color="auto"/>
            </w:tcBorders>
            <w:shd w:val="clear" w:color="auto" w:fill="auto"/>
          </w:tcPr>
          <w:p w14:paraId="12369EB4" w14:textId="49EB9BA7" w:rsidR="00C31690" w:rsidRDefault="00C31690" w:rsidP="00C31690">
            <w:r>
              <w:t>3</w:t>
            </w:r>
          </w:p>
        </w:tc>
      </w:tr>
      <w:tr w:rsidR="00750846" w14:paraId="3DB0CE88" w14:textId="77777777" w:rsidTr="009A3ADF">
        <w:tc>
          <w:tcPr>
            <w:tcW w:w="7806" w:type="dxa"/>
            <w:gridSpan w:val="7"/>
            <w:tcBorders>
              <w:top w:val="single" w:sz="12" w:space="0" w:color="auto"/>
              <w:left w:val="single" w:sz="12" w:space="0" w:color="auto"/>
              <w:right w:val="single" w:sz="12" w:space="0" w:color="auto"/>
            </w:tcBorders>
            <w:shd w:val="clear" w:color="auto" w:fill="BFBFBF" w:themeFill="background1" w:themeFillShade="BF"/>
          </w:tcPr>
          <w:p w14:paraId="34871802" w14:textId="461661E3" w:rsidR="00750846" w:rsidRPr="00750846" w:rsidRDefault="00750846" w:rsidP="00C31690">
            <w:pPr>
              <w:rPr>
                <w:b/>
              </w:rPr>
            </w:pPr>
            <w:r w:rsidRPr="00750846">
              <w:rPr>
                <w:b/>
              </w:rPr>
              <w:t>Overige Relevantie</w:t>
            </w:r>
          </w:p>
        </w:tc>
      </w:tr>
      <w:tr w:rsidR="00750846" w14:paraId="74535C85" w14:textId="229AD466" w:rsidTr="00B20185">
        <w:tc>
          <w:tcPr>
            <w:tcW w:w="1948" w:type="dxa"/>
            <w:tcBorders>
              <w:top w:val="single" w:sz="12" w:space="0" w:color="auto"/>
              <w:left w:val="single" w:sz="12" w:space="0" w:color="auto"/>
              <w:bottom w:val="single" w:sz="12" w:space="0" w:color="auto"/>
              <w:right w:val="single" w:sz="4" w:space="0" w:color="auto"/>
            </w:tcBorders>
            <w:shd w:val="clear" w:color="auto" w:fill="auto"/>
          </w:tcPr>
          <w:p w14:paraId="464C3328" w14:textId="3153AE82" w:rsidR="00750846" w:rsidRDefault="00440BB8" w:rsidP="00C31690">
            <w:r>
              <w:t>Nederlands veiligheidsbeleid (drugs en criminaliteit)</w:t>
            </w:r>
          </w:p>
        </w:tc>
        <w:tc>
          <w:tcPr>
            <w:tcW w:w="1946" w:type="dxa"/>
            <w:gridSpan w:val="2"/>
            <w:tcBorders>
              <w:top w:val="single" w:sz="12" w:space="0" w:color="auto"/>
              <w:left w:val="single" w:sz="4" w:space="0" w:color="auto"/>
              <w:bottom w:val="single" w:sz="12" w:space="0" w:color="auto"/>
              <w:right w:val="single" w:sz="4" w:space="0" w:color="auto"/>
            </w:tcBorders>
            <w:shd w:val="clear" w:color="auto" w:fill="auto"/>
          </w:tcPr>
          <w:p w14:paraId="28D302C8" w14:textId="77777777" w:rsidR="00750846" w:rsidRDefault="00750846" w:rsidP="00C31690"/>
        </w:tc>
        <w:tc>
          <w:tcPr>
            <w:tcW w:w="1947" w:type="dxa"/>
            <w:gridSpan w:val="2"/>
            <w:tcBorders>
              <w:top w:val="single" w:sz="12" w:space="0" w:color="auto"/>
              <w:left w:val="single" w:sz="4" w:space="0" w:color="auto"/>
              <w:bottom w:val="single" w:sz="12" w:space="0" w:color="auto"/>
              <w:right w:val="single" w:sz="4" w:space="0" w:color="auto"/>
            </w:tcBorders>
            <w:shd w:val="clear" w:color="auto" w:fill="auto"/>
          </w:tcPr>
          <w:p w14:paraId="421E6F33" w14:textId="1FFFED85" w:rsidR="00750846" w:rsidRDefault="00323C89" w:rsidP="00C31690">
            <w:r>
              <w:t>3</w:t>
            </w:r>
          </w:p>
        </w:tc>
        <w:tc>
          <w:tcPr>
            <w:tcW w:w="1965" w:type="dxa"/>
            <w:gridSpan w:val="2"/>
            <w:tcBorders>
              <w:top w:val="single" w:sz="12" w:space="0" w:color="auto"/>
              <w:left w:val="single" w:sz="4" w:space="0" w:color="auto"/>
              <w:bottom w:val="single" w:sz="12" w:space="0" w:color="auto"/>
              <w:right w:val="single" w:sz="12" w:space="0" w:color="auto"/>
            </w:tcBorders>
            <w:shd w:val="clear" w:color="auto" w:fill="auto"/>
          </w:tcPr>
          <w:p w14:paraId="249CC861" w14:textId="77777777" w:rsidR="00750846" w:rsidRDefault="00750846" w:rsidP="00C31690"/>
        </w:tc>
      </w:tr>
    </w:tbl>
    <w:p w14:paraId="384FE285" w14:textId="77777777" w:rsidR="000537C6" w:rsidRDefault="000537C6" w:rsidP="000537C6"/>
    <w:p w14:paraId="0BCFD64E" w14:textId="72F6C587" w:rsidR="0002330E" w:rsidRDefault="0002330E" w:rsidP="0002330E">
      <w:pPr>
        <w:ind w:firstLine="227"/>
      </w:pPr>
      <w:r>
        <w:t xml:space="preserve">Beoordeling: Onvoldoende = 1, Matig = 2, Voldoende = 3, Goed = </w:t>
      </w:r>
      <w:r w:rsidRPr="00193994">
        <w:t xml:space="preserve">Beoordeling: </w:t>
      </w:r>
    </w:p>
    <w:p w14:paraId="1FBCE70C" w14:textId="77777777" w:rsidR="000537C6" w:rsidRPr="00D745A7" w:rsidRDefault="000537C6" w:rsidP="000537C6"/>
    <w:p w14:paraId="6B1C2400" w14:textId="67B612D2" w:rsidR="00B95FC2" w:rsidRPr="00734374" w:rsidRDefault="000537C6" w:rsidP="00734374">
      <w:pPr>
        <w:pStyle w:val="Heading1"/>
        <w:tabs>
          <w:tab w:val="num" w:pos="0"/>
        </w:tabs>
        <w:spacing w:after="240" w:line="240" w:lineRule="auto"/>
        <w:ind w:hanging="1162"/>
      </w:pPr>
      <w:bookmarkStart w:id="27" w:name="_Toc491442782"/>
      <w:r>
        <w:lastRenderedPageBreak/>
        <w:t>2</w:t>
      </w:r>
      <w:r w:rsidR="00734374" w:rsidRPr="00734374">
        <w:t xml:space="preserve"> </w:t>
      </w:r>
      <w:r w:rsidR="00734374">
        <w:tab/>
      </w:r>
      <w:r w:rsidR="00AD0CCB" w:rsidRPr="00734374">
        <w:t>Inleiding</w:t>
      </w:r>
      <w:bookmarkEnd w:id="18"/>
      <w:bookmarkEnd w:id="19"/>
      <w:bookmarkEnd w:id="27"/>
    </w:p>
    <w:p w14:paraId="70EE5B37" w14:textId="3168972C" w:rsidR="005D3322" w:rsidRDefault="005150FC" w:rsidP="005150FC">
      <w:pPr>
        <w:shd w:val="clear" w:color="auto" w:fill="FFFFFF"/>
        <w:spacing w:before="100" w:beforeAutospacing="1" w:after="100" w:afterAutospacing="1" w:line="240" w:lineRule="auto"/>
        <w:rPr>
          <w:szCs w:val="18"/>
          <w:lang w:eastAsia="zh-CN"/>
        </w:rPr>
      </w:pPr>
      <w:r>
        <w:rPr>
          <w:szCs w:val="18"/>
          <w:lang w:eastAsia="zh-CN"/>
        </w:rPr>
        <w:t xml:space="preserve">Scorecards worden opgesteld om het functioneren en de beleidsrelevantie van multilaterale organisaties in kaart te brengen. </w:t>
      </w:r>
      <w:r w:rsidR="00710978">
        <w:rPr>
          <w:szCs w:val="18"/>
          <w:lang w:eastAsia="zh-CN"/>
        </w:rPr>
        <w:t>D</w:t>
      </w:r>
      <w:r>
        <w:rPr>
          <w:szCs w:val="18"/>
          <w:lang w:eastAsia="zh-CN"/>
        </w:rPr>
        <w:t>e Nederlandse inzet in multilaterale organisaties word</w:t>
      </w:r>
      <w:r w:rsidR="00710978">
        <w:rPr>
          <w:szCs w:val="18"/>
          <w:lang w:eastAsia="zh-CN"/>
        </w:rPr>
        <w:t>t</w:t>
      </w:r>
      <w:r>
        <w:rPr>
          <w:szCs w:val="18"/>
          <w:lang w:eastAsia="zh-CN"/>
        </w:rPr>
        <w:t xml:space="preserve"> geconcentreerd op organ</w:t>
      </w:r>
      <w:r w:rsidR="007E1149">
        <w:rPr>
          <w:szCs w:val="18"/>
          <w:lang w:eastAsia="zh-CN"/>
        </w:rPr>
        <w:t xml:space="preserve">isaties </w:t>
      </w:r>
      <w:r w:rsidR="00A71A15">
        <w:rPr>
          <w:szCs w:val="18"/>
          <w:lang w:eastAsia="zh-CN"/>
        </w:rPr>
        <w:t xml:space="preserve">die effectief zijn en </w:t>
      </w:r>
      <w:r w:rsidR="007E1149">
        <w:rPr>
          <w:szCs w:val="18"/>
          <w:lang w:eastAsia="zh-CN"/>
        </w:rPr>
        <w:t>die relevant zijn voor</w:t>
      </w:r>
      <w:r>
        <w:rPr>
          <w:szCs w:val="18"/>
          <w:lang w:eastAsia="zh-CN"/>
        </w:rPr>
        <w:t xml:space="preserve"> het Nederlandse beleid</w:t>
      </w:r>
      <w:r w:rsidR="000C082E">
        <w:rPr>
          <w:szCs w:val="18"/>
          <w:lang w:eastAsia="zh-CN"/>
        </w:rPr>
        <w:t xml:space="preserve">, </w:t>
      </w:r>
      <w:r w:rsidR="00456C9B">
        <w:rPr>
          <w:szCs w:val="18"/>
          <w:lang w:eastAsia="zh-CN"/>
        </w:rPr>
        <w:t>of</w:t>
      </w:r>
      <w:r w:rsidR="000C082E">
        <w:rPr>
          <w:szCs w:val="18"/>
          <w:lang w:eastAsia="zh-CN"/>
        </w:rPr>
        <w:t xml:space="preserve"> een sleutelrol vervullen binnen de multilaterale architectuur als </w:t>
      </w:r>
      <w:r w:rsidR="00125028">
        <w:rPr>
          <w:szCs w:val="18"/>
          <w:lang w:eastAsia="zh-CN"/>
        </w:rPr>
        <w:t>“</w:t>
      </w:r>
      <w:r w:rsidR="000C082E">
        <w:rPr>
          <w:szCs w:val="18"/>
          <w:lang w:eastAsia="zh-CN"/>
        </w:rPr>
        <w:t>systeemorganisatie</w:t>
      </w:r>
      <w:r w:rsidR="00125028">
        <w:rPr>
          <w:szCs w:val="18"/>
          <w:lang w:eastAsia="zh-CN"/>
        </w:rPr>
        <w:t>”</w:t>
      </w:r>
      <w:r w:rsidR="000C082E">
        <w:rPr>
          <w:szCs w:val="18"/>
          <w:lang w:eastAsia="zh-CN"/>
        </w:rPr>
        <w:t xml:space="preserve">. </w:t>
      </w:r>
      <w:r w:rsidR="00967346">
        <w:rPr>
          <w:szCs w:val="18"/>
          <w:lang w:eastAsia="zh-CN"/>
        </w:rPr>
        <w:t>Dit vraagt om</w:t>
      </w:r>
      <w:r>
        <w:rPr>
          <w:szCs w:val="18"/>
          <w:lang w:eastAsia="zh-CN"/>
        </w:rPr>
        <w:t xml:space="preserve"> zorgvuldige en regelmatige toetsing. </w:t>
      </w:r>
      <w:r w:rsidR="005D3322">
        <w:rPr>
          <w:szCs w:val="18"/>
          <w:lang w:eastAsia="zh-CN"/>
        </w:rPr>
        <w:t>Het streven is om scorecards</w:t>
      </w:r>
      <w:r w:rsidR="00DB2280">
        <w:rPr>
          <w:szCs w:val="18"/>
          <w:lang w:eastAsia="zh-CN"/>
        </w:rPr>
        <w:t xml:space="preserve"> op te stellen voor de</w:t>
      </w:r>
      <w:r w:rsidR="005D3322">
        <w:rPr>
          <w:szCs w:val="18"/>
          <w:lang w:eastAsia="zh-CN"/>
        </w:rPr>
        <w:t xml:space="preserve"> </w:t>
      </w:r>
      <w:r w:rsidR="00A2455B">
        <w:rPr>
          <w:szCs w:val="18"/>
          <w:lang w:eastAsia="zh-CN"/>
        </w:rPr>
        <w:t xml:space="preserve">VN Fondsen en </w:t>
      </w:r>
      <w:r w:rsidR="00223E42">
        <w:rPr>
          <w:szCs w:val="18"/>
          <w:lang w:eastAsia="zh-CN"/>
        </w:rPr>
        <w:t xml:space="preserve">Programma’s, </w:t>
      </w:r>
      <w:r w:rsidR="003B4CB4">
        <w:rPr>
          <w:szCs w:val="18"/>
          <w:lang w:eastAsia="zh-CN"/>
        </w:rPr>
        <w:t xml:space="preserve">de Internationale </w:t>
      </w:r>
      <w:r w:rsidR="00F613E9">
        <w:rPr>
          <w:szCs w:val="18"/>
          <w:lang w:eastAsia="zh-CN"/>
        </w:rPr>
        <w:t>Financiële</w:t>
      </w:r>
      <w:r w:rsidR="003B4CB4">
        <w:rPr>
          <w:szCs w:val="18"/>
          <w:lang w:eastAsia="zh-CN"/>
        </w:rPr>
        <w:t xml:space="preserve"> Instellingen</w:t>
      </w:r>
      <w:r w:rsidR="00315D5D">
        <w:rPr>
          <w:szCs w:val="18"/>
          <w:lang w:eastAsia="zh-CN"/>
        </w:rPr>
        <w:t xml:space="preserve"> (</w:t>
      </w:r>
      <w:proofErr w:type="spellStart"/>
      <w:r w:rsidR="00315D5D">
        <w:rPr>
          <w:szCs w:val="18"/>
          <w:lang w:eastAsia="zh-CN"/>
        </w:rPr>
        <w:t>IFI</w:t>
      </w:r>
      <w:r w:rsidR="0023111C">
        <w:rPr>
          <w:szCs w:val="18"/>
          <w:lang w:eastAsia="zh-CN"/>
        </w:rPr>
        <w:t>’</w:t>
      </w:r>
      <w:r w:rsidR="00460B80">
        <w:rPr>
          <w:szCs w:val="18"/>
          <w:lang w:eastAsia="zh-CN"/>
        </w:rPr>
        <w:t>s</w:t>
      </w:r>
      <w:proofErr w:type="spellEnd"/>
      <w:r w:rsidR="00460B80">
        <w:rPr>
          <w:szCs w:val="18"/>
          <w:lang w:eastAsia="zh-CN"/>
        </w:rPr>
        <w:t>)</w:t>
      </w:r>
      <w:r w:rsidR="003B4CB4">
        <w:rPr>
          <w:szCs w:val="18"/>
          <w:lang w:eastAsia="zh-CN"/>
        </w:rPr>
        <w:t xml:space="preserve">, </w:t>
      </w:r>
      <w:r w:rsidR="00223E42">
        <w:rPr>
          <w:szCs w:val="18"/>
          <w:lang w:eastAsia="zh-CN"/>
        </w:rPr>
        <w:t xml:space="preserve">de voor Nederlands </w:t>
      </w:r>
      <w:r w:rsidR="00460B80">
        <w:rPr>
          <w:szCs w:val="18"/>
          <w:lang w:eastAsia="zh-CN"/>
        </w:rPr>
        <w:t>beleid voor Buitenlandse Handel en Ontwikkelingssamenwerking (BHOS)</w:t>
      </w:r>
      <w:r w:rsidR="002E1113">
        <w:rPr>
          <w:szCs w:val="18"/>
          <w:lang w:eastAsia="zh-CN"/>
        </w:rPr>
        <w:t xml:space="preserve"> </w:t>
      </w:r>
      <w:r w:rsidR="00223E42">
        <w:rPr>
          <w:szCs w:val="18"/>
          <w:lang w:eastAsia="zh-CN"/>
        </w:rPr>
        <w:t>relevante gespecialiseerde VN-organisaties en kantoren, en de majeure wereldwijde fondsen</w:t>
      </w:r>
      <w:r w:rsidR="00A37B8E">
        <w:rPr>
          <w:szCs w:val="18"/>
          <w:lang w:eastAsia="zh-CN"/>
        </w:rPr>
        <w:t>;</w:t>
      </w:r>
      <w:r w:rsidR="00223E42">
        <w:rPr>
          <w:szCs w:val="18"/>
          <w:lang w:eastAsia="zh-CN"/>
        </w:rPr>
        <w:t xml:space="preserve"> </w:t>
      </w:r>
      <w:r w:rsidR="005D3322">
        <w:rPr>
          <w:szCs w:val="18"/>
          <w:lang w:eastAsia="zh-CN"/>
        </w:rPr>
        <w:t xml:space="preserve">multilaterale organisaties waaraan Nederland een substantiële ODA-bijdrage levert. De relevantie wordt primair getoetst aan het Nederlandse beleid voor </w:t>
      </w:r>
      <w:r w:rsidR="00460B80">
        <w:rPr>
          <w:szCs w:val="18"/>
          <w:lang w:eastAsia="zh-CN"/>
        </w:rPr>
        <w:t>BHOS</w:t>
      </w:r>
      <w:r w:rsidR="00CF0A55">
        <w:rPr>
          <w:szCs w:val="18"/>
          <w:lang w:eastAsia="zh-CN"/>
        </w:rPr>
        <w:t>,</w:t>
      </w:r>
      <w:r w:rsidR="005D3322">
        <w:rPr>
          <w:szCs w:val="18"/>
          <w:lang w:eastAsia="zh-CN"/>
        </w:rPr>
        <w:t xml:space="preserve"> maar de bredere betekenis van multilaterale instellingen voor andere aspecten van Nederlands beleid wordt </w:t>
      </w:r>
      <w:r w:rsidR="00A8630D">
        <w:rPr>
          <w:szCs w:val="18"/>
          <w:lang w:eastAsia="zh-CN"/>
        </w:rPr>
        <w:t>waar relevant</w:t>
      </w:r>
      <w:r w:rsidR="005D3322">
        <w:rPr>
          <w:szCs w:val="18"/>
          <w:lang w:eastAsia="zh-CN"/>
        </w:rPr>
        <w:t xml:space="preserve"> meegenomen.</w:t>
      </w:r>
    </w:p>
    <w:p w14:paraId="0806F225" w14:textId="77777777" w:rsidR="005150FC" w:rsidRPr="00307981" w:rsidRDefault="005150FC" w:rsidP="005150FC">
      <w:pPr>
        <w:shd w:val="clear" w:color="auto" w:fill="FFFFFF"/>
        <w:spacing w:before="100" w:beforeAutospacing="1" w:after="100" w:afterAutospacing="1" w:line="240" w:lineRule="auto"/>
        <w:rPr>
          <w:szCs w:val="18"/>
          <w:lang w:eastAsia="zh-CN"/>
        </w:rPr>
      </w:pPr>
      <w:r>
        <w:rPr>
          <w:szCs w:val="18"/>
          <w:lang w:eastAsia="zh-CN"/>
        </w:rPr>
        <w:t>Elke</w:t>
      </w:r>
      <w:r w:rsidRPr="00307981">
        <w:rPr>
          <w:szCs w:val="18"/>
          <w:lang w:eastAsia="zh-CN"/>
        </w:rPr>
        <w:t xml:space="preserve"> scorecard ge</w:t>
      </w:r>
      <w:r>
        <w:rPr>
          <w:szCs w:val="18"/>
          <w:lang w:eastAsia="zh-CN"/>
        </w:rPr>
        <w:t>eft</w:t>
      </w:r>
      <w:r w:rsidRPr="00307981">
        <w:rPr>
          <w:szCs w:val="18"/>
          <w:lang w:eastAsia="zh-CN"/>
        </w:rPr>
        <w:t xml:space="preserve"> een overzicht van de doelstellingen</w:t>
      </w:r>
      <w:r w:rsidR="00C1320B">
        <w:rPr>
          <w:szCs w:val="18"/>
          <w:lang w:eastAsia="zh-CN"/>
        </w:rPr>
        <w:t>,</w:t>
      </w:r>
      <w:r w:rsidRPr="00307981">
        <w:rPr>
          <w:szCs w:val="18"/>
          <w:lang w:eastAsia="zh-CN"/>
        </w:rPr>
        <w:t xml:space="preserve"> het mandaat </w:t>
      </w:r>
      <w:r w:rsidR="00C1320B">
        <w:rPr>
          <w:szCs w:val="18"/>
          <w:lang w:eastAsia="zh-CN"/>
        </w:rPr>
        <w:t xml:space="preserve">en de kernkwaliteiten </w:t>
      </w:r>
      <w:r w:rsidR="006569DB">
        <w:rPr>
          <w:szCs w:val="18"/>
          <w:lang w:eastAsia="zh-CN"/>
        </w:rPr>
        <w:t xml:space="preserve">van de </w:t>
      </w:r>
      <w:r w:rsidRPr="00307981">
        <w:rPr>
          <w:szCs w:val="18"/>
          <w:lang w:eastAsia="zh-CN"/>
        </w:rPr>
        <w:t xml:space="preserve">betreffende internationale </w:t>
      </w:r>
      <w:r>
        <w:rPr>
          <w:szCs w:val="18"/>
          <w:lang w:eastAsia="zh-CN"/>
        </w:rPr>
        <w:t>instelling</w:t>
      </w:r>
      <w:r w:rsidRPr="00307981">
        <w:rPr>
          <w:szCs w:val="18"/>
          <w:lang w:eastAsia="zh-CN"/>
        </w:rPr>
        <w:t xml:space="preserve">, van de wijze waarop de organisatie </w:t>
      </w:r>
      <w:r>
        <w:rPr>
          <w:szCs w:val="18"/>
          <w:lang w:eastAsia="zh-CN"/>
        </w:rPr>
        <w:t>is ingericht en welke activiteiten ze</w:t>
      </w:r>
      <w:r w:rsidRPr="00307981">
        <w:rPr>
          <w:szCs w:val="18"/>
          <w:lang w:eastAsia="zh-CN"/>
        </w:rPr>
        <w:t xml:space="preserve"> uitvoert, van de financiële omvang en de Nederlandse bijdragen</w:t>
      </w:r>
      <w:r>
        <w:rPr>
          <w:szCs w:val="18"/>
          <w:lang w:eastAsia="zh-CN"/>
        </w:rPr>
        <w:t>. Op basis van een analyse van de verschillende deelaspecten wordt een</w:t>
      </w:r>
      <w:r w:rsidRPr="00307981">
        <w:rPr>
          <w:szCs w:val="18"/>
          <w:lang w:eastAsia="zh-CN"/>
        </w:rPr>
        <w:t xml:space="preserve"> appreciatie </w:t>
      </w:r>
      <w:r>
        <w:rPr>
          <w:szCs w:val="18"/>
          <w:lang w:eastAsia="zh-CN"/>
        </w:rPr>
        <w:t xml:space="preserve">gegeven </w:t>
      </w:r>
      <w:r w:rsidRPr="00307981">
        <w:rPr>
          <w:szCs w:val="18"/>
          <w:lang w:eastAsia="zh-CN"/>
        </w:rPr>
        <w:t xml:space="preserve">van de </w:t>
      </w:r>
      <w:r w:rsidR="008735BA">
        <w:rPr>
          <w:szCs w:val="18"/>
          <w:lang w:eastAsia="zh-CN"/>
        </w:rPr>
        <w:t xml:space="preserve">organisatorische </w:t>
      </w:r>
      <w:r w:rsidR="00AB5963">
        <w:rPr>
          <w:szCs w:val="18"/>
          <w:lang w:eastAsia="zh-CN"/>
        </w:rPr>
        <w:t>effectiviteit</w:t>
      </w:r>
      <w:r w:rsidRPr="00307981">
        <w:rPr>
          <w:szCs w:val="18"/>
          <w:lang w:eastAsia="zh-CN"/>
        </w:rPr>
        <w:t xml:space="preserve"> en van de relevantie </w:t>
      </w:r>
      <w:r w:rsidR="00456A79">
        <w:rPr>
          <w:szCs w:val="18"/>
          <w:lang w:eastAsia="zh-CN"/>
        </w:rPr>
        <w:t xml:space="preserve">voor </w:t>
      </w:r>
      <w:r w:rsidRPr="00307981">
        <w:rPr>
          <w:szCs w:val="18"/>
          <w:lang w:eastAsia="zh-CN"/>
        </w:rPr>
        <w:t>de Nederlandse beleidsdoelstellingen.</w:t>
      </w:r>
      <w:r w:rsidR="005D3322">
        <w:rPr>
          <w:szCs w:val="18"/>
          <w:lang w:eastAsia="zh-CN"/>
        </w:rPr>
        <w:t xml:space="preserve"> </w:t>
      </w:r>
      <w:r w:rsidR="00F3652C">
        <w:rPr>
          <w:szCs w:val="18"/>
          <w:lang w:eastAsia="zh-CN"/>
        </w:rPr>
        <w:t xml:space="preserve">Er </w:t>
      </w:r>
      <w:r w:rsidR="00BB7ABD">
        <w:rPr>
          <w:szCs w:val="18"/>
          <w:lang w:eastAsia="zh-CN"/>
        </w:rPr>
        <w:t xml:space="preserve">wordt een appreciatie gegeven van de mate waarin organisaties voor het Nederlandse BHOS-beleid relevante resultaten behalen. </w:t>
      </w:r>
      <w:r w:rsidR="005D3322">
        <w:rPr>
          <w:szCs w:val="18"/>
          <w:lang w:eastAsia="zh-CN"/>
        </w:rPr>
        <w:t xml:space="preserve">Deelaspecten van effectiviteit worden beoordeeld op basis van specifieke criteria en gescoord op een </w:t>
      </w:r>
      <w:proofErr w:type="spellStart"/>
      <w:r w:rsidR="005D3322">
        <w:rPr>
          <w:szCs w:val="18"/>
          <w:lang w:eastAsia="zh-CN"/>
        </w:rPr>
        <w:t>vierpuntsschaal</w:t>
      </w:r>
      <w:proofErr w:type="spellEnd"/>
      <w:r w:rsidR="005D3322">
        <w:rPr>
          <w:szCs w:val="18"/>
          <w:lang w:eastAsia="zh-CN"/>
        </w:rPr>
        <w:t xml:space="preserve"> van onvoldoende, matig, voldoende en </w:t>
      </w:r>
      <w:r w:rsidR="0014161D">
        <w:rPr>
          <w:szCs w:val="18"/>
          <w:lang w:eastAsia="zh-CN"/>
        </w:rPr>
        <w:t>uitstekend</w:t>
      </w:r>
      <w:r w:rsidR="005D3322">
        <w:rPr>
          <w:szCs w:val="18"/>
          <w:lang w:eastAsia="zh-CN"/>
        </w:rPr>
        <w:t xml:space="preserve">. Daarnaast </w:t>
      </w:r>
      <w:r w:rsidR="0014161D">
        <w:rPr>
          <w:szCs w:val="18"/>
          <w:lang w:eastAsia="zh-CN"/>
        </w:rPr>
        <w:t>wordt aangegeven of de organisatie een positieve, een negatieve of een neutrale ontwikkeling heeft doorgemaakt sinds de scorecard 2015.</w:t>
      </w:r>
      <w:r w:rsidR="005D3322">
        <w:rPr>
          <w:szCs w:val="18"/>
          <w:lang w:eastAsia="zh-CN"/>
        </w:rPr>
        <w:t xml:space="preserve"> </w:t>
      </w:r>
      <w:r w:rsidR="00EE1DC0">
        <w:rPr>
          <w:szCs w:val="18"/>
          <w:lang w:eastAsia="zh-CN"/>
        </w:rPr>
        <w:t>Beleidsmatige r</w:t>
      </w:r>
      <w:r w:rsidR="005D3322">
        <w:rPr>
          <w:szCs w:val="18"/>
          <w:lang w:eastAsia="zh-CN"/>
        </w:rPr>
        <w:t xml:space="preserve">elevantie </w:t>
      </w:r>
      <w:r w:rsidR="00EE1DC0">
        <w:rPr>
          <w:szCs w:val="18"/>
          <w:lang w:eastAsia="zh-CN"/>
        </w:rPr>
        <w:t>en impact</w:t>
      </w:r>
      <w:r w:rsidR="00770864">
        <w:rPr>
          <w:szCs w:val="18"/>
          <w:lang w:eastAsia="zh-CN"/>
        </w:rPr>
        <w:t xml:space="preserve"> (resultaten)</w:t>
      </w:r>
      <w:r w:rsidR="00EE1DC0">
        <w:rPr>
          <w:szCs w:val="18"/>
          <w:lang w:eastAsia="zh-CN"/>
        </w:rPr>
        <w:t xml:space="preserve"> worden </w:t>
      </w:r>
      <w:r w:rsidR="005D3322">
        <w:rPr>
          <w:szCs w:val="18"/>
          <w:lang w:eastAsia="zh-CN"/>
        </w:rPr>
        <w:t>aangeduid met de kwalificaties relevant, beperkt relevant en niet relevant. Een samenvatting van al deze scores is te vind</w:t>
      </w:r>
      <w:r w:rsidR="005A463A">
        <w:rPr>
          <w:szCs w:val="18"/>
          <w:lang w:eastAsia="zh-CN"/>
        </w:rPr>
        <w:t>en in de tabellen in hoofdstuk 5</w:t>
      </w:r>
      <w:r w:rsidR="005D3322">
        <w:rPr>
          <w:szCs w:val="18"/>
          <w:lang w:eastAsia="zh-CN"/>
        </w:rPr>
        <w:t>.</w:t>
      </w:r>
    </w:p>
    <w:p w14:paraId="0875D288" w14:textId="77777777" w:rsidR="005150FC" w:rsidRPr="00307981" w:rsidRDefault="005150FC" w:rsidP="005150FC">
      <w:pPr>
        <w:shd w:val="clear" w:color="auto" w:fill="FFFFFF"/>
        <w:spacing w:before="100" w:beforeAutospacing="1" w:after="100" w:afterAutospacing="1" w:line="240" w:lineRule="auto"/>
        <w:rPr>
          <w:szCs w:val="18"/>
          <w:lang w:eastAsia="zh-CN"/>
        </w:rPr>
      </w:pPr>
      <w:r w:rsidRPr="00307981">
        <w:rPr>
          <w:szCs w:val="18"/>
          <w:lang w:eastAsia="zh-CN"/>
        </w:rPr>
        <w:t xml:space="preserve">De scorecards </w:t>
      </w:r>
      <w:r>
        <w:rPr>
          <w:szCs w:val="18"/>
          <w:lang w:eastAsia="zh-CN"/>
        </w:rPr>
        <w:t>zijn</w:t>
      </w:r>
      <w:r w:rsidRPr="00307981">
        <w:rPr>
          <w:szCs w:val="18"/>
          <w:lang w:eastAsia="zh-CN"/>
        </w:rPr>
        <w:t xml:space="preserve"> samengesteld op basis van rapportages van de organisatie zelf, van de </w:t>
      </w:r>
      <w:r w:rsidRPr="00CA5BC9">
        <w:rPr>
          <w:i/>
          <w:szCs w:val="18"/>
          <w:lang w:eastAsia="zh-CN"/>
        </w:rPr>
        <w:t>Board of Auditors</w:t>
      </w:r>
      <w:r w:rsidRPr="00307981">
        <w:rPr>
          <w:szCs w:val="18"/>
          <w:lang w:eastAsia="zh-CN"/>
        </w:rPr>
        <w:t xml:space="preserve">, </w:t>
      </w:r>
      <w:r>
        <w:rPr>
          <w:szCs w:val="18"/>
          <w:lang w:eastAsia="zh-CN"/>
        </w:rPr>
        <w:t xml:space="preserve">interne en externe </w:t>
      </w:r>
      <w:r w:rsidRPr="00307981">
        <w:rPr>
          <w:szCs w:val="18"/>
          <w:lang w:eastAsia="zh-CN"/>
        </w:rPr>
        <w:t>evaluaties</w:t>
      </w:r>
      <w:r w:rsidR="00AC567F">
        <w:rPr>
          <w:szCs w:val="18"/>
          <w:lang w:eastAsia="zh-CN"/>
        </w:rPr>
        <w:t>,</w:t>
      </w:r>
      <w:r w:rsidRPr="00307981">
        <w:rPr>
          <w:szCs w:val="18"/>
          <w:lang w:eastAsia="zh-CN"/>
        </w:rPr>
        <w:t xml:space="preserve"> </w:t>
      </w:r>
      <w:r>
        <w:rPr>
          <w:szCs w:val="18"/>
          <w:lang w:eastAsia="zh-CN"/>
        </w:rPr>
        <w:t xml:space="preserve">beoordelingen door andere donoren en </w:t>
      </w:r>
      <w:r w:rsidRPr="00307981">
        <w:rPr>
          <w:szCs w:val="18"/>
          <w:lang w:eastAsia="zh-CN"/>
        </w:rPr>
        <w:t xml:space="preserve">van het </w:t>
      </w:r>
      <w:proofErr w:type="spellStart"/>
      <w:r w:rsidRPr="00AF36B0">
        <w:rPr>
          <w:i/>
          <w:szCs w:val="18"/>
          <w:lang w:eastAsia="zh-CN"/>
        </w:rPr>
        <w:t>Multilateral</w:t>
      </w:r>
      <w:proofErr w:type="spellEnd"/>
      <w:r w:rsidRPr="00AF36B0">
        <w:rPr>
          <w:i/>
          <w:szCs w:val="18"/>
          <w:lang w:eastAsia="zh-CN"/>
        </w:rPr>
        <w:t xml:space="preserve"> </w:t>
      </w:r>
      <w:proofErr w:type="spellStart"/>
      <w:r w:rsidRPr="00AF36B0">
        <w:rPr>
          <w:i/>
          <w:szCs w:val="18"/>
          <w:lang w:eastAsia="zh-CN"/>
        </w:rPr>
        <w:t>Organisations</w:t>
      </w:r>
      <w:proofErr w:type="spellEnd"/>
      <w:r w:rsidRPr="00AF36B0">
        <w:rPr>
          <w:i/>
          <w:szCs w:val="18"/>
          <w:lang w:eastAsia="zh-CN"/>
        </w:rPr>
        <w:t xml:space="preserve"> Performance Assessment Network</w:t>
      </w:r>
      <w:r w:rsidRPr="00307981">
        <w:rPr>
          <w:szCs w:val="18"/>
          <w:lang w:eastAsia="zh-CN"/>
        </w:rPr>
        <w:t xml:space="preserve"> (MOPAN)</w:t>
      </w:r>
      <w:r w:rsidR="00456C9B">
        <w:rPr>
          <w:szCs w:val="18"/>
          <w:lang w:eastAsia="zh-CN"/>
        </w:rPr>
        <w:t>.</w:t>
      </w:r>
      <w:r>
        <w:rPr>
          <w:rStyle w:val="FootnoteReference"/>
          <w:szCs w:val="18"/>
          <w:lang w:eastAsia="zh-CN"/>
        </w:rPr>
        <w:footnoteReference w:id="3"/>
      </w:r>
      <w:r>
        <w:rPr>
          <w:szCs w:val="18"/>
          <w:lang w:eastAsia="zh-CN"/>
        </w:rPr>
        <w:t xml:space="preserve"> </w:t>
      </w:r>
      <w:r w:rsidRPr="00307981">
        <w:rPr>
          <w:szCs w:val="18"/>
          <w:lang w:eastAsia="zh-CN"/>
        </w:rPr>
        <w:t>Daarnaast wordt om de input gevraagd van betrokken vakdepartementen, de Permanente Vertegenwoordigingen</w:t>
      </w:r>
      <w:r>
        <w:rPr>
          <w:szCs w:val="18"/>
          <w:lang w:eastAsia="zh-CN"/>
        </w:rPr>
        <w:t xml:space="preserve"> en</w:t>
      </w:r>
      <w:r w:rsidRPr="00307981">
        <w:rPr>
          <w:szCs w:val="18"/>
          <w:lang w:eastAsia="zh-CN"/>
        </w:rPr>
        <w:t xml:space="preserve"> </w:t>
      </w:r>
      <w:proofErr w:type="spellStart"/>
      <w:r w:rsidRPr="00307981">
        <w:rPr>
          <w:szCs w:val="18"/>
          <w:lang w:eastAsia="zh-CN"/>
        </w:rPr>
        <w:t>Kiesgroepkantoren</w:t>
      </w:r>
      <w:proofErr w:type="spellEnd"/>
      <w:r w:rsidRPr="00307981">
        <w:rPr>
          <w:szCs w:val="18"/>
          <w:lang w:eastAsia="zh-CN"/>
        </w:rPr>
        <w:t xml:space="preserve">. Ook </w:t>
      </w:r>
      <w:r w:rsidR="004E60C0">
        <w:rPr>
          <w:szCs w:val="18"/>
          <w:lang w:eastAsia="zh-CN"/>
        </w:rPr>
        <w:t xml:space="preserve">informatie </w:t>
      </w:r>
      <w:r>
        <w:rPr>
          <w:szCs w:val="18"/>
          <w:lang w:eastAsia="zh-CN"/>
        </w:rPr>
        <w:t xml:space="preserve">van ambassades </w:t>
      </w:r>
      <w:r w:rsidRPr="00307981">
        <w:rPr>
          <w:szCs w:val="18"/>
          <w:lang w:eastAsia="zh-CN"/>
        </w:rPr>
        <w:t xml:space="preserve">over het functioneren van landenkantoren </w:t>
      </w:r>
      <w:r>
        <w:rPr>
          <w:szCs w:val="18"/>
          <w:lang w:eastAsia="zh-CN"/>
        </w:rPr>
        <w:t>van multilaterale instellingen zijn</w:t>
      </w:r>
      <w:r w:rsidRPr="00307981">
        <w:rPr>
          <w:szCs w:val="18"/>
          <w:lang w:eastAsia="zh-CN"/>
        </w:rPr>
        <w:t xml:space="preserve"> in de scorecard </w:t>
      </w:r>
      <w:r w:rsidR="00710978">
        <w:rPr>
          <w:szCs w:val="18"/>
          <w:lang w:eastAsia="zh-CN"/>
        </w:rPr>
        <w:t>verwerkt</w:t>
      </w:r>
      <w:r>
        <w:rPr>
          <w:szCs w:val="18"/>
          <w:lang w:eastAsia="zh-CN"/>
        </w:rPr>
        <w:t>.</w:t>
      </w:r>
      <w:r w:rsidRPr="00307981">
        <w:rPr>
          <w:szCs w:val="18"/>
          <w:lang w:eastAsia="zh-CN"/>
        </w:rPr>
        <w:t xml:space="preserve"> </w:t>
      </w:r>
      <w:r w:rsidR="00AC567F">
        <w:rPr>
          <w:szCs w:val="18"/>
          <w:lang w:eastAsia="zh-CN"/>
        </w:rPr>
        <w:t>De s</w:t>
      </w:r>
      <w:r w:rsidRPr="00307981">
        <w:rPr>
          <w:szCs w:val="18"/>
          <w:lang w:eastAsia="zh-CN"/>
        </w:rPr>
        <w:t xml:space="preserve">corecards </w:t>
      </w:r>
      <w:r>
        <w:rPr>
          <w:szCs w:val="18"/>
          <w:lang w:eastAsia="zh-CN"/>
        </w:rPr>
        <w:t xml:space="preserve">worden </w:t>
      </w:r>
      <w:r w:rsidR="002633CA">
        <w:rPr>
          <w:szCs w:val="18"/>
          <w:lang w:eastAsia="zh-CN"/>
        </w:rPr>
        <w:t xml:space="preserve">iedere twee jaar </w:t>
      </w:r>
      <w:r w:rsidRPr="00307981">
        <w:rPr>
          <w:szCs w:val="18"/>
          <w:lang w:eastAsia="zh-CN"/>
        </w:rPr>
        <w:t>geactualiseerd</w:t>
      </w:r>
      <w:r w:rsidR="002C77AF">
        <w:rPr>
          <w:szCs w:val="18"/>
          <w:lang w:eastAsia="zh-CN"/>
        </w:rPr>
        <w:t>.</w:t>
      </w:r>
      <w:r w:rsidRPr="00307981">
        <w:rPr>
          <w:szCs w:val="18"/>
          <w:lang w:eastAsia="zh-CN"/>
        </w:rPr>
        <w:t xml:space="preserve"> </w:t>
      </w:r>
    </w:p>
    <w:p w14:paraId="3C0A9F95" w14:textId="331470A4" w:rsidR="00167BFC" w:rsidRDefault="00167BFC" w:rsidP="00167BFC"/>
    <w:p w14:paraId="46E38511" w14:textId="77777777" w:rsidR="00167BFC" w:rsidRDefault="00167BFC" w:rsidP="00167BFC"/>
    <w:p w14:paraId="672B4CC7" w14:textId="77777777" w:rsidR="00307981" w:rsidRPr="00307981" w:rsidRDefault="00307981" w:rsidP="00307981"/>
    <w:p w14:paraId="6239D444" w14:textId="6BD7E644" w:rsidR="00D745A7" w:rsidRDefault="000537C6" w:rsidP="00F24A31">
      <w:pPr>
        <w:pStyle w:val="Heading1"/>
        <w:tabs>
          <w:tab w:val="num" w:pos="0"/>
        </w:tabs>
        <w:spacing w:after="240" w:line="240" w:lineRule="auto"/>
        <w:ind w:hanging="1162"/>
      </w:pPr>
      <w:bookmarkStart w:id="28" w:name="_Toc479602598"/>
      <w:bookmarkStart w:id="29" w:name="_Toc491442783"/>
      <w:r>
        <w:lastRenderedPageBreak/>
        <w:t>3</w:t>
      </w:r>
      <w:r w:rsidR="00F24A31">
        <w:t xml:space="preserve"> </w:t>
      </w:r>
      <w:r w:rsidR="00F24A31">
        <w:tab/>
      </w:r>
      <w:r w:rsidR="00D745A7">
        <w:t>Algemene achtergrond</w:t>
      </w:r>
      <w:bookmarkEnd w:id="28"/>
      <w:bookmarkEnd w:id="29"/>
    </w:p>
    <w:p w14:paraId="7523140C" w14:textId="77777777" w:rsidR="0002330E" w:rsidRPr="0002330E" w:rsidRDefault="0002330E" w:rsidP="0002330E">
      <w:pPr>
        <w:pStyle w:val="ListParagraph"/>
        <w:keepNext/>
        <w:widowControl w:val="0"/>
        <w:numPr>
          <w:ilvl w:val="0"/>
          <w:numId w:val="21"/>
        </w:numPr>
        <w:tabs>
          <w:tab w:val="left" w:pos="-1162"/>
          <w:tab w:val="left" w:pos="0"/>
        </w:tabs>
        <w:spacing w:before="200" w:line="240" w:lineRule="auto"/>
        <w:outlineLvl w:val="1"/>
        <w:rPr>
          <w:rFonts w:cs="Arial"/>
          <w:b/>
          <w:iCs/>
          <w:vanish/>
          <w:kern w:val="32"/>
          <w:szCs w:val="28"/>
        </w:rPr>
      </w:pPr>
    </w:p>
    <w:p w14:paraId="6BB1BAB6" w14:textId="77777777" w:rsidR="0002330E" w:rsidRPr="0002330E" w:rsidRDefault="0002330E" w:rsidP="0002330E">
      <w:pPr>
        <w:pStyle w:val="ListParagraph"/>
        <w:keepNext/>
        <w:widowControl w:val="0"/>
        <w:numPr>
          <w:ilvl w:val="0"/>
          <w:numId w:val="21"/>
        </w:numPr>
        <w:tabs>
          <w:tab w:val="left" w:pos="-1162"/>
          <w:tab w:val="left" w:pos="0"/>
        </w:tabs>
        <w:spacing w:before="200" w:line="240" w:lineRule="auto"/>
        <w:outlineLvl w:val="1"/>
        <w:rPr>
          <w:rFonts w:cs="Arial"/>
          <w:b/>
          <w:iCs/>
          <w:vanish/>
          <w:kern w:val="32"/>
          <w:szCs w:val="28"/>
        </w:rPr>
      </w:pPr>
    </w:p>
    <w:p w14:paraId="6011C6E7" w14:textId="5DC50DDD" w:rsidR="007D6744" w:rsidRDefault="007D6744" w:rsidP="0002330E">
      <w:pPr>
        <w:pStyle w:val="Heading2"/>
        <w:numPr>
          <w:ilvl w:val="1"/>
          <w:numId w:val="21"/>
        </w:numPr>
        <w:tabs>
          <w:tab w:val="left" w:pos="-1162"/>
          <w:tab w:val="left" w:pos="0"/>
        </w:tabs>
        <w:spacing w:line="240" w:lineRule="auto"/>
      </w:pPr>
      <w:r>
        <w:t xml:space="preserve">             </w:t>
      </w:r>
      <w:bookmarkStart w:id="30" w:name="_Toc479602599"/>
      <w:bookmarkStart w:id="31" w:name="_Toc479608855"/>
      <w:bookmarkStart w:id="32" w:name="_Toc491442784"/>
      <w:r w:rsidR="0055776D">
        <w:t>Doelstelling</w:t>
      </w:r>
      <w:r w:rsidR="00FC6EC6">
        <w:t xml:space="preserve"> en toegevoegde waarde</w:t>
      </w:r>
      <w:bookmarkEnd w:id="30"/>
      <w:bookmarkEnd w:id="31"/>
      <w:bookmarkEnd w:id="32"/>
    </w:p>
    <w:p w14:paraId="2E6F6600" w14:textId="392D17B2" w:rsidR="00BB0687" w:rsidRDefault="005B0273" w:rsidP="000537C6">
      <w:bookmarkStart w:id="33" w:name="_Toc479602600"/>
      <w:bookmarkStart w:id="34" w:name="_Toc479608856"/>
      <w:r w:rsidRPr="007D6744">
        <w:t xml:space="preserve">Het </w:t>
      </w:r>
      <w:r w:rsidRPr="0023111C">
        <w:rPr>
          <w:i/>
        </w:rPr>
        <w:t xml:space="preserve">United Nations Office on Drugs </w:t>
      </w:r>
      <w:proofErr w:type="spellStart"/>
      <w:r w:rsidRPr="0023111C">
        <w:rPr>
          <w:i/>
        </w:rPr>
        <w:t>and</w:t>
      </w:r>
      <w:proofErr w:type="spellEnd"/>
      <w:r w:rsidRPr="0023111C">
        <w:rPr>
          <w:i/>
        </w:rPr>
        <w:t xml:space="preserve"> Crime</w:t>
      </w:r>
      <w:r w:rsidRPr="007D6744">
        <w:t xml:space="preserve"> (UNODC) werd in 1997 opgericht door de fusie van het </w:t>
      </w:r>
      <w:r w:rsidR="00CB063E" w:rsidRPr="0023111C">
        <w:rPr>
          <w:i/>
        </w:rPr>
        <w:t>United Nations Centre for International Crime Prevention</w:t>
      </w:r>
      <w:r w:rsidRPr="007D6744">
        <w:t xml:space="preserve"> en het </w:t>
      </w:r>
      <w:r w:rsidR="00CB063E" w:rsidRPr="0023111C">
        <w:rPr>
          <w:i/>
        </w:rPr>
        <w:t xml:space="preserve">United Nations International Drug Control </w:t>
      </w:r>
      <w:proofErr w:type="spellStart"/>
      <w:r w:rsidR="00CB063E" w:rsidRPr="0023111C">
        <w:rPr>
          <w:i/>
        </w:rPr>
        <w:t>Programme</w:t>
      </w:r>
      <w:proofErr w:type="spellEnd"/>
      <w:r w:rsidRPr="007D6744">
        <w:t>.</w:t>
      </w:r>
      <w:r w:rsidR="00446FB1">
        <w:t xml:space="preserve"> Het mandaat van UNODC omvat</w:t>
      </w:r>
      <w:r w:rsidRPr="007D6744">
        <w:t>: “het steunen van lidstaten in hun strijd tegen illegale drugs, misdaad en terrorisme in al hun verschijningsvormen”</w:t>
      </w:r>
      <w:r w:rsidR="00397335">
        <w:t>.</w:t>
      </w:r>
    </w:p>
    <w:p w14:paraId="11F2D0A6" w14:textId="77777777" w:rsidR="00C849EE" w:rsidRDefault="00C849EE" w:rsidP="000537C6">
      <w:pPr>
        <w:rPr>
          <w:b/>
        </w:rPr>
        <w:sectPr w:rsidR="00C849EE" w:rsidSect="00FF3D58">
          <w:type w:val="continuous"/>
          <w:pgSz w:w="11906" w:h="16838" w:code="9"/>
          <w:pgMar w:top="2518" w:right="849" w:bottom="1077" w:left="3221" w:header="199" w:footer="658" w:gutter="0"/>
          <w:cols w:space="708"/>
          <w:docGrid w:linePitch="360"/>
        </w:sectPr>
      </w:pPr>
    </w:p>
    <w:p w14:paraId="59A6BCD9" w14:textId="446F5A86" w:rsidR="00932D61" w:rsidRPr="00446FB1" w:rsidRDefault="002E1113" w:rsidP="000537C6">
      <w:pPr>
        <w:rPr>
          <w:b/>
        </w:rPr>
      </w:pPr>
      <w:r w:rsidRPr="002E1113">
        <w:t>U</w:t>
      </w:r>
      <w:r w:rsidR="002D0E1B" w:rsidRPr="002E1113">
        <w:t>NODC is</w:t>
      </w:r>
      <w:r w:rsidR="005B0273" w:rsidRPr="002E1113">
        <w:t xml:space="preserve"> de hoeder van reeks verdragen</w:t>
      </w:r>
      <w:r w:rsidR="00932D61" w:rsidRPr="002E1113">
        <w:t>:</w:t>
      </w:r>
      <w:r w:rsidR="0023111C">
        <w:t xml:space="preserve"> </w:t>
      </w:r>
      <w:r w:rsidR="00CB063E" w:rsidRPr="0023111C">
        <w:rPr>
          <w:i/>
        </w:rPr>
        <w:t xml:space="preserve">United Nations </w:t>
      </w:r>
      <w:proofErr w:type="spellStart"/>
      <w:r w:rsidR="00CB063E" w:rsidRPr="0023111C">
        <w:rPr>
          <w:i/>
        </w:rPr>
        <w:t>Convention</w:t>
      </w:r>
      <w:proofErr w:type="spellEnd"/>
      <w:r w:rsidR="00CB063E" w:rsidRPr="0023111C">
        <w:rPr>
          <w:i/>
        </w:rPr>
        <w:t xml:space="preserve"> on </w:t>
      </w:r>
      <w:proofErr w:type="spellStart"/>
      <w:r w:rsidR="00CB063E" w:rsidRPr="0023111C">
        <w:rPr>
          <w:i/>
        </w:rPr>
        <w:t>Transnational</w:t>
      </w:r>
      <w:proofErr w:type="spellEnd"/>
      <w:r w:rsidR="00CB063E" w:rsidRPr="0023111C">
        <w:rPr>
          <w:i/>
        </w:rPr>
        <w:t xml:space="preserve"> </w:t>
      </w:r>
      <w:proofErr w:type="spellStart"/>
      <w:r w:rsidR="00CB063E" w:rsidRPr="0023111C">
        <w:rPr>
          <w:i/>
        </w:rPr>
        <w:t>Organised</w:t>
      </w:r>
      <w:proofErr w:type="spellEnd"/>
      <w:r w:rsidR="00CB063E" w:rsidRPr="0023111C">
        <w:rPr>
          <w:i/>
        </w:rPr>
        <w:t xml:space="preserve"> Crime</w:t>
      </w:r>
      <w:r w:rsidR="005B0273" w:rsidRPr="002E1113">
        <w:t xml:space="preserve"> (UNTOC)</w:t>
      </w:r>
      <w:r w:rsidR="00397335" w:rsidRPr="002E1113">
        <w:t>,</w:t>
      </w:r>
      <w:r w:rsidR="0023111C">
        <w:t xml:space="preserve"> </w:t>
      </w:r>
      <w:r w:rsidR="00CB063E" w:rsidRPr="0023111C">
        <w:rPr>
          <w:i/>
        </w:rPr>
        <w:t xml:space="preserve">United Nations </w:t>
      </w:r>
      <w:proofErr w:type="spellStart"/>
      <w:r w:rsidR="00CB063E" w:rsidRPr="0023111C">
        <w:rPr>
          <w:i/>
        </w:rPr>
        <w:t>Convention</w:t>
      </w:r>
      <w:proofErr w:type="spellEnd"/>
      <w:r w:rsidR="00CB063E" w:rsidRPr="0023111C">
        <w:rPr>
          <w:i/>
        </w:rPr>
        <w:t xml:space="preserve"> </w:t>
      </w:r>
      <w:proofErr w:type="spellStart"/>
      <w:r w:rsidR="00CB063E" w:rsidRPr="0023111C">
        <w:rPr>
          <w:i/>
        </w:rPr>
        <w:t>against</w:t>
      </w:r>
      <w:proofErr w:type="spellEnd"/>
      <w:r w:rsidR="00CB063E" w:rsidRPr="0023111C">
        <w:rPr>
          <w:i/>
        </w:rPr>
        <w:t xml:space="preserve"> </w:t>
      </w:r>
      <w:proofErr w:type="spellStart"/>
      <w:r w:rsidR="00CB063E" w:rsidRPr="0023111C">
        <w:rPr>
          <w:i/>
        </w:rPr>
        <w:t>Corruption</w:t>
      </w:r>
      <w:proofErr w:type="spellEnd"/>
      <w:r w:rsidR="005B0273" w:rsidRPr="002E1113">
        <w:t xml:space="preserve"> (UNCAC)</w:t>
      </w:r>
      <w:r w:rsidR="00397335" w:rsidRPr="002E1113">
        <w:t>,</w:t>
      </w:r>
      <w:r w:rsidR="005B0273" w:rsidRPr="002E1113">
        <w:t xml:space="preserve"> alsmede de drie drugsverdragen: </w:t>
      </w:r>
      <w:r w:rsidR="00CB063E" w:rsidRPr="0023111C">
        <w:rPr>
          <w:i/>
        </w:rPr>
        <w:t xml:space="preserve">United Nations Single </w:t>
      </w:r>
      <w:proofErr w:type="spellStart"/>
      <w:r w:rsidR="00CB063E" w:rsidRPr="0023111C">
        <w:rPr>
          <w:i/>
        </w:rPr>
        <w:t>Convention</w:t>
      </w:r>
      <w:proofErr w:type="spellEnd"/>
      <w:r w:rsidR="00CB063E" w:rsidRPr="0023111C">
        <w:rPr>
          <w:i/>
        </w:rPr>
        <w:t xml:space="preserve"> on </w:t>
      </w:r>
      <w:proofErr w:type="spellStart"/>
      <w:r w:rsidR="00CB063E" w:rsidRPr="0023111C">
        <w:rPr>
          <w:i/>
        </w:rPr>
        <w:t>Narcotic</w:t>
      </w:r>
      <w:proofErr w:type="spellEnd"/>
      <w:r w:rsidR="00CB063E" w:rsidRPr="0023111C">
        <w:rPr>
          <w:i/>
        </w:rPr>
        <w:t xml:space="preserve"> Drugs</w:t>
      </w:r>
      <w:r w:rsidR="00CB063E" w:rsidRPr="002E1113">
        <w:t>, U</w:t>
      </w:r>
      <w:r w:rsidR="006875B7" w:rsidRPr="0023111C">
        <w:rPr>
          <w:i/>
        </w:rPr>
        <w:t xml:space="preserve">nited </w:t>
      </w:r>
      <w:r w:rsidR="00CB063E" w:rsidRPr="0023111C">
        <w:rPr>
          <w:i/>
        </w:rPr>
        <w:t>N</w:t>
      </w:r>
      <w:r w:rsidR="006875B7" w:rsidRPr="0023111C">
        <w:rPr>
          <w:i/>
        </w:rPr>
        <w:t>ations</w:t>
      </w:r>
      <w:r w:rsidR="00CB063E" w:rsidRPr="0023111C">
        <w:rPr>
          <w:i/>
        </w:rPr>
        <w:t xml:space="preserve"> </w:t>
      </w:r>
      <w:proofErr w:type="spellStart"/>
      <w:r w:rsidR="00CB063E" w:rsidRPr="0023111C">
        <w:rPr>
          <w:i/>
        </w:rPr>
        <w:t>Convention</w:t>
      </w:r>
      <w:proofErr w:type="spellEnd"/>
      <w:r w:rsidR="00CB063E" w:rsidRPr="0023111C">
        <w:rPr>
          <w:i/>
        </w:rPr>
        <w:t xml:space="preserve"> on </w:t>
      </w:r>
      <w:proofErr w:type="spellStart"/>
      <w:r w:rsidR="00CB063E" w:rsidRPr="0023111C">
        <w:rPr>
          <w:i/>
        </w:rPr>
        <w:t>Psychotropic</w:t>
      </w:r>
      <w:proofErr w:type="spellEnd"/>
      <w:r w:rsidR="00CB063E" w:rsidRPr="0023111C">
        <w:rPr>
          <w:i/>
        </w:rPr>
        <w:t xml:space="preserve"> </w:t>
      </w:r>
      <w:proofErr w:type="spellStart"/>
      <w:r w:rsidR="00CB063E" w:rsidRPr="0023111C">
        <w:rPr>
          <w:i/>
        </w:rPr>
        <w:t>Substances</w:t>
      </w:r>
      <w:proofErr w:type="spellEnd"/>
      <w:r w:rsidR="005B0273" w:rsidRPr="002E1113">
        <w:t xml:space="preserve"> en </w:t>
      </w:r>
      <w:r w:rsidR="00CB063E" w:rsidRPr="0023111C">
        <w:rPr>
          <w:i/>
        </w:rPr>
        <w:t xml:space="preserve">United Nations </w:t>
      </w:r>
      <w:proofErr w:type="spellStart"/>
      <w:r w:rsidR="00CB063E" w:rsidRPr="0023111C">
        <w:rPr>
          <w:i/>
        </w:rPr>
        <w:t>Convention</w:t>
      </w:r>
      <w:proofErr w:type="spellEnd"/>
      <w:r w:rsidR="00CB063E" w:rsidRPr="0023111C">
        <w:rPr>
          <w:i/>
        </w:rPr>
        <w:t xml:space="preserve"> </w:t>
      </w:r>
      <w:proofErr w:type="spellStart"/>
      <w:r w:rsidR="00CB063E" w:rsidRPr="0023111C">
        <w:rPr>
          <w:i/>
        </w:rPr>
        <w:t>against</w:t>
      </w:r>
      <w:proofErr w:type="spellEnd"/>
      <w:r w:rsidR="00CB063E" w:rsidRPr="0023111C">
        <w:rPr>
          <w:i/>
        </w:rPr>
        <w:t xml:space="preserve"> </w:t>
      </w:r>
      <w:proofErr w:type="spellStart"/>
      <w:r w:rsidR="00CB063E" w:rsidRPr="0023111C">
        <w:rPr>
          <w:i/>
        </w:rPr>
        <w:t>Illicit</w:t>
      </w:r>
      <w:proofErr w:type="spellEnd"/>
      <w:r w:rsidR="00CB063E" w:rsidRPr="0023111C">
        <w:rPr>
          <w:i/>
        </w:rPr>
        <w:t xml:space="preserve"> Traffic in </w:t>
      </w:r>
      <w:proofErr w:type="spellStart"/>
      <w:r w:rsidR="00CB063E" w:rsidRPr="0023111C">
        <w:rPr>
          <w:i/>
        </w:rPr>
        <w:t>Narcotic</w:t>
      </w:r>
      <w:proofErr w:type="spellEnd"/>
      <w:r w:rsidR="00CB063E" w:rsidRPr="0023111C">
        <w:rPr>
          <w:i/>
        </w:rPr>
        <w:t xml:space="preserve"> Drugs </w:t>
      </w:r>
      <w:proofErr w:type="spellStart"/>
      <w:r w:rsidR="00CB063E" w:rsidRPr="0023111C">
        <w:rPr>
          <w:i/>
        </w:rPr>
        <w:t>and</w:t>
      </w:r>
      <w:proofErr w:type="spellEnd"/>
      <w:r w:rsidR="00CB063E" w:rsidRPr="0023111C">
        <w:rPr>
          <w:i/>
        </w:rPr>
        <w:t xml:space="preserve"> </w:t>
      </w:r>
      <w:proofErr w:type="spellStart"/>
      <w:r w:rsidR="00CB063E" w:rsidRPr="0023111C">
        <w:rPr>
          <w:i/>
        </w:rPr>
        <w:t>Psychotropic</w:t>
      </w:r>
      <w:proofErr w:type="spellEnd"/>
      <w:r w:rsidR="00CB063E" w:rsidRPr="0023111C">
        <w:rPr>
          <w:i/>
        </w:rPr>
        <w:t xml:space="preserve"> </w:t>
      </w:r>
      <w:proofErr w:type="spellStart"/>
      <w:r w:rsidR="00CB063E" w:rsidRPr="0023111C">
        <w:rPr>
          <w:i/>
        </w:rPr>
        <w:t>Substances</w:t>
      </w:r>
      <w:proofErr w:type="spellEnd"/>
      <w:r w:rsidR="005B0273" w:rsidRPr="002E1113">
        <w:t>.</w:t>
      </w:r>
      <w:r w:rsidR="00BB0687" w:rsidRPr="002E1113">
        <w:t xml:space="preserve"> </w:t>
      </w:r>
      <w:r w:rsidR="005B0273" w:rsidRPr="007D6744">
        <w:t xml:space="preserve">In dit kader fungeert UNODC als secretariaat voor de </w:t>
      </w:r>
      <w:r w:rsidR="005B0273" w:rsidRPr="0023111C">
        <w:rPr>
          <w:i/>
        </w:rPr>
        <w:t xml:space="preserve">Conference of the </w:t>
      </w:r>
      <w:proofErr w:type="spellStart"/>
      <w:r w:rsidR="005B0273" w:rsidRPr="0023111C">
        <w:rPr>
          <w:i/>
        </w:rPr>
        <w:t>Parties</w:t>
      </w:r>
      <w:proofErr w:type="spellEnd"/>
      <w:r w:rsidR="005B0273" w:rsidRPr="0023111C">
        <w:rPr>
          <w:i/>
        </w:rPr>
        <w:t xml:space="preserve"> </w:t>
      </w:r>
      <w:r w:rsidR="005B0273" w:rsidRPr="007D6744">
        <w:t xml:space="preserve">van zowel UNTOC als UNCAC en bevordert de </w:t>
      </w:r>
      <w:r w:rsidR="00932D61" w:rsidRPr="007D6744">
        <w:t>ratificatie</w:t>
      </w:r>
      <w:r w:rsidR="00932D61">
        <w:t>,</w:t>
      </w:r>
      <w:r w:rsidR="00932D61" w:rsidRPr="007D6744">
        <w:t xml:space="preserve"> implementatie</w:t>
      </w:r>
      <w:r w:rsidR="00932D61">
        <w:t xml:space="preserve"> en naleving</w:t>
      </w:r>
      <w:r w:rsidR="005B0273" w:rsidRPr="007D6744">
        <w:t xml:space="preserve"> van deze verdragen</w:t>
      </w:r>
      <w:r w:rsidR="00932D61">
        <w:t xml:space="preserve"> in met name transitie- en ontwikkelingslanden</w:t>
      </w:r>
      <w:r w:rsidR="005B0273" w:rsidRPr="007D6744">
        <w:t>. Zo heeft UNODC tot taak technische assistentie te verlenen om met name transitie- en ontwikkelingslanden beter in staat te stellen de verdragen te ratificeren en vervolgens ook na te leven</w:t>
      </w:r>
      <w:r w:rsidR="00DD1B6B">
        <w:t xml:space="preserve"> en internationaal te kunnen samenwerken</w:t>
      </w:r>
      <w:r w:rsidR="00932D61" w:rsidRPr="007D6744">
        <w:t>.</w:t>
      </w:r>
      <w:r w:rsidR="00932D61">
        <w:t xml:space="preserve"> Dit </w:t>
      </w:r>
      <w:r w:rsidR="00DD1B6B">
        <w:t>doet UNODC v</w:t>
      </w:r>
      <w:r w:rsidR="00932D61">
        <w:t>oornamelijk via technische assistentie</w:t>
      </w:r>
      <w:r w:rsidR="00397335">
        <w:t>,</w:t>
      </w:r>
      <w:r w:rsidR="00932D61">
        <w:t xml:space="preserve"> maar</w:t>
      </w:r>
      <w:r w:rsidR="00DD1B6B">
        <w:t xml:space="preserve"> het heeft ook een belangrijke rol in het verzamelen en analyseren van data en identificeren van en rapporteren over trends, het opstellen standaarden en </w:t>
      </w:r>
      <w:proofErr w:type="spellStart"/>
      <w:r w:rsidR="00CB063E" w:rsidRPr="0023111C">
        <w:rPr>
          <w:i/>
        </w:rPr>
        <w:t>guidelines</w:t>
      </w:r>
      <w:proofErr w:type="spellEnd"/>
      <w:r w:rsidR="00DD1B6B">
        <w:t xml:space="preserve"> en het vergroten van bewustzijn door middel van campagnes. </w:t>
      </w:r>
      <w:r w:rsidR="00932D61">
        <w:t xml:space="preserve">Het draagt </w:t>
      </w:r>
      <w:r w:rsidR="002161FF">
        <w:t xml:space="preserve">op deze manier enerzijds bij aan het versterken </w:t>
      </w:r>
      <w:r w:rsidR="00DD1B6B">
        <w:t>en verbinden</w:t>
      </w:r>
      <w:r w:rsidR="00D925B2">
        <w:t xml:space="preserve"> </w:t>
      </w:r>
      <w:r w:rsidR="002161FF">
        <w:t xml:space="preserve">van nationale instituties en systemen </w:t>
      </w:r>
      <w:r w:rsidR="00DD1B6B">
        <w:t xml:space="preserve">(bijvoorbeeld justitie en gezondheid) </w:t>
      </w:r>
      <w:r w:rsidR="00397335">
        <w:t xml:space="preserve">en </w:t>
      </w:r>
      <w:r w:rsidR="002161FF">
        <w:t xml:space="preserve">tegelijkertijd aan het bevorderen van de internationale samenwerking in de </w:t>
      </w:r>
      <w:r w:rsidR="002161FF" w:rsidRPr="00446FB1">
        <w:t>bestrijding van transnationale elementen van georganiseerde misdaad</w:t>
      </w:r>
      <w:bookmarkEnd w:id="33"/>
      <w:bookmarkEnd w:id="34"/>
      <w:r w:rsidR="0023111C">
        <w:t>.</w:t>
      </w:r>
    </w:p>
    <w:p w14:paraId="5C999145" w14:textId="6A34AB4A" w:rsidR="00932D61" w:rsidRPr="00446FB1" w:rsidRDefault="00932D61" w:rsidP="000537C6"/>
    <w:p w14:paraId="03F40BB1" w14:textId="369579F9" w:rsidR="002D0E1B" w:rsidRDefault="00EF7DE9" w:rsidP="000537C6">
      <w:pPr>
        <w:rPr>
          <w:rFonts w:cs="Verdana"/>
          <w:szCs w:val="18"/>
        </w:rPr>
      </w:pPr>
      <w:bookmarkStart w:id="35" w:name="_Toc479602601"/>
      <w:r w:rsidRPr="00446FB1">
        <w:rPr>
          <w:rFonts w:cs="Verdana"/>
          <w:szCs w:val="18"/>
        </w:rPr>
        <w:t xml:space="preserve">UNODC </w:t>
      </w:r>
      <w:r w:rsidR="00D925B2" w:rsidRPr="00EF510E">
        <w:rPr>
          <w:rFonts w:cs="Verdana"/>
          <w:szCs w:val="18"/>
        </w:rPr>
        <w:t xml:space="preserve">heeft zowel een </w:t>
      </w:r>
      <w:r w:rsidRPr="00EF510E">
        <w:rPr>
          <w:rFonts w:cs="Verdana"/>
          <w:szCs w:val="18"/>
        </w:rPr>
        <w:t>normerende</w:t>
      </w:r>
      <w:r w:rsidR="00D925B2" w:rsidRPr="00EF510E">
        <w:rPr>
          <w:rFonts w:cs="Verdana"/>
          <w:szCs w:val="18"/>
        </w:rPr>
        <w:t xml:space="preserve"> en </w:t>
      </w:r>
      <w:r w:rsidR="0023111C" w:rsidRPr="00EF510E">
        <w:rPr>
          <w:rFonts w:cs="Verdana"/>
          <w:szCs w:val="18"/>
        </w:rPr>
        <w:t>beleid adviserende</w:t>
      </w:r>
      <w:r w:rsidRPr="00EF510E">
        <w:rPr>
          <w:rFonts w:cs="Verdana"/>
          <w:szCs w:val="18"/>
        </w:rPr>
        <w:t>/</w:t>
      </w:r>
      <w:r w:rsidR="0023111C" w:rsidRPr="00EF510E">
        <w:rPr>
          <w:rFonts w:cs="Verdana"/>
          <w:szCs w:val="18"/>
        </w:rPr>
        <w:t>pleit bezorgende</w:t>
      </w:r>
      <w:r w:rsidRPr="00EF510E">
        <w:rPr>
          <w:rFonts w:cs="Verdana"/>
          <w:szCs w:val="18"/>
        </w:rPr>
        <w:t xml:space="preserve"> </w:t>
      </w:r>
      <w:r w:rsidR="00D925B2" w:rsidRPr="00EF510E">
        <w:rPr>
          <w:rFonts w:cs="Verdana"/>
          <w:szCs w:val="18"/>
        </w:rPr>
        <w:t>als een implementerende rol (technische assistentie)</w:t>
      </w:r>
      <w:r w:rsidR="00397335">
        <w:rPr>
          <w:rFonts w:cs="Verdana"/>
          <w:szCs w:val="18"/>
        </w:rPr>
        <w:t xml:space="preserve"> </w:t>
      </w:r>
      <w:r w:rsidRPr="00EF510E">
        <w:rPr>
          <w:rFonts w:cs="Verdana"/>
          <w:szCs w:val="18"/>
        </w:rPr>
        <w:t>op het gebied van drugs, georganiseerde misdaad, terrorisme</w:t>
      </w:r>
      <w:r w:rsidR="00E16467" w:rsidRPr="00EF510E">
        <w:rPr>
          <w:rFonts w:cs="Verdana"/>
          <w:szCs w:val="18"/>
        </w:rPr>
        <w:t>,</w:t>
      </w:r>
      <w:r w:rsidR="00DD1B6B" w:rsidRPr="00EF510E">
        <w:rPr>
          <w:rFonts w:cs="Verdana"/>
          <w:szCs w:val="18"/>
        </w:rPr>
        <w:t xml:space="preserve"> </w:t>
      </w:r>
      <w:r w:rsidRPr="00EF510E">
        <w:rPr>
          <w:rFonts w:cs="Verdana"/>
          <w:szCs w:val="18"/>
        </w:rPr>
        <w:t>rechtshandhaving</w:t>
      </w:r>
      <w:r w:rsidR="00E16467" w:rsidRPr="00EF510E">
        <w:rPr>
          <w:rFonts w:cs="Verdana"/>
          <w:szCs w:val="18"/>
        </w:rPr>
        <w:t xml:space="preserve"> en corruptiebestrijding</w:t>
      </w:r>
      <w:r w:rsidR="00D925B2" w:rsidRPr="00EF510E">
        <w:rPr>
          <w:rFonts w:cs="Verdana"/>
          <w:szCs w:val="18"/>
        </w:rPr>
        <w:t xml:space="preserve"> in het veld. Met het faciliteren van de </w:t>
      </w:r>
      <w:r w:rsidR="00CB063E" w:rsidRPr="002E1113">
        <w:rPr>
          <w:rFonts w:cs="Verdana"/>
          <w:i/>
          <w:szCs w:val="18"/>
        </w:rPr>
        <w:t>United Nations</w:t>
      </w:r>
      <w:r w:rsidR="00D925B2" w:rsidRPr="00EF510E">
        <w:rPr>
          <w:rFonts w:cs="Verdana"/>
          <w:szCs w:val="18"/>
        </w:rPr>
        <w:t xml:space="preserve"> </w:t>
      </w:r>
      <w:r w:rsidR="00CB063E" w:rsidRPr="002E1113">
        <w:rPr>
          <w:rFonts w:cs="Verdana"/>
          <w:i/>
          <w:szCs w:val="18"/>
        </w:rPr>
        <w:t xml:space="preserve">General Assembly Special </w:t>
      </w:r>
      <w:proofErr w:type="spellStart"/>
      <w:r w:rsidR="00CB063E" w:rsidRPr="002E1113">
        <w:rPr>
          <w:rFonts w:cs="Verdana"/>
          <w:i/>
          <w:szCs w:val="18"/>
        </w:rPr>
        <w:t>Session</w:t>
      </w:r>
      <w:proofErr w:type="spellEnd"/>
      <w:r w:rsidR="00CB063E" w:rsidRPr="002E1113">
        <w:rPr>
          <w:rFonts w:cs="Verdana"/>
          <w:i/>
          <w:szCs w:val="18"/>
        </w:rPr>
        <w:t xml:space="preserve"> on the World Drug </w:t>
      </w:r>
      <w:proofErr w:type="spellStart"/>
      <w:r w:rsidR="00CB063E" w:rsidRPr="002E1113">
        <w:rPr>
          <w:rFonts w:cs="Verdana"/>
          <w:i/>
          <w:szCs w:val="18"/>
        </w:rPr>
        <w:t>Problem</w:t>
      </w:r>
      <w:proofErr w:type="spellEnd"/>
      <w:r w:rsidR="00CA2B89" w:rsidRPr="00EF510E">
        <w:rPr>
          <w:rFonts w:cs="Verdana"/>
          <w:szCs w:val="18"/>
        </w:rPr>
        <w:t xml:space="preserve"> in 2016 heeft UNODC een belangrijke bijdrage geleverd aan het zetten van nieuwe normen en standaarden in de implementatie van drugsbeleid door de lidstaten. </w:t>
      </w:r>
      <w:r w:rsidR="00D925B2" w:rsidRPr="00EF510E">
        <w:rPr>
          <w:rFonts w:cs="Verdana"/>
          <w:szCs w:val="18"/>
        </w:rPr>
        <w:t xml:space="preserve"> De onderzoeks- en analysefunctie van UNODC is belangrijk voor het geven van richting van de internationale beleidsdiscussies op deze onderwerpen. Met name het jaarlijkse World Drug Rapport geeft een voor Nederland belangrijk overzicht van de trends in gebruik en </w:t>
      </w:r>
      <w:proofErr w:type="spellStart"/>
      <w:r w:rsidR="00D925B2" w:rsidRPr="00EF510E">
        <w:rPr>
          <w:rFonts w:cs="Verdana"/>
          <w:i/>
          <w:szCs w:val="18"/>
        </w:rPr>
        <w:t>supply</w:t>
      </w:r>
      <w:proofErr w:type="spellEnd"/>
      <w:r w:rsidR="00D925B2" w:rsidRPr="00EF510E">
        <w:rPr>
          <w:rFonts w:cs="Verdana"/>
          <w:i/>
          <w:szCs w:val="18"/>
        </w:rPr>
        <w:t xml:space="preserve"> </w:t>
      </w:r>
      <w:proofErr w:type="spellStart"/>
      <w:r w:rsidR="00D925B2" w:rsidRPr="00EF510E">
        <w:rPr>
          <w:rFonts w:cs="Verdana"/>
          <w:i/>
          <w:szCs w:val="18"/>
        </w:rPr>
        <w:t>reduction</w:t>
      </w:r>
      <w:proofErr w:type="spellEnd"/>
      <w:r w:rsidR="00D925B2" w:rsidRPr="00EF510E">
        <w:rPr>
          <w:rFonts w:cs="Verdana"/>
          <w:i/>
          <w:szCs w:val="18"/>
        </w:rPr>
        <w:t xml:space="preserve"> </w:t>
      </w:r>
      <w:r w:rsidR="00D925B2" w:rsidRPr="00EF510E">
        <w:rPr>
          <w:rFonts w:cs="Verdana"/>
          <w:szCs w:val="18"/>
        </w:rPr>
        <w:t xml:space="preserve">wereldwijd.  </w:t>
      </w:r>
      <w:r w:rsidR="00446FB1" w:rsidRPr="00EF510E" w:rsidDel="00446FB1">
        <w:rPr>
          <w:rFonts w:cs="Verdana"/>
          <w:szCs w:val="18"/>
        </w:rPr>
        <w:t xml:space="preserve"> </w:t>
      </w:r>
      <w:bookmarkEnd w:id="35"/>
    </w:p>
    <w:p w14:paraId="1F75097F" w14:textId="77777777" w:rsidR="005A1763" w:rsidRPr="00EF510E" w:rsidRDefault="005A1763" w:rsidP="000537C6"/>
    <w:p w14:paraId="2D4D1D46" w14:textId="0C622413" w:rsidR="002D0E1B" w:rsidRPr="00EF510E" w:rsidRDefault="0002330E" w:rsidP="0002330E">
      <w:pPr>
        <w:pStyle w:val="Heading2"/>
        <w:tabs>
          <w:tab w:val="left" w:pos="-1162"/>
          <w:tab w:val="left" w:pos="0"/>
        </w:tabs>
        <w:spacing w:line="240" w:lineRule="auto"/>
        <w:ind w:left="-1162"/>
      </w:pPr>
      <w:bookmarkStart w:id="36" w:name="_Toc491442785"/>
      <w:r>
        <w:t>3</w:t>
      </w:r>
      <w:r w:rsidR="002D0E1B" w:rsidRPr="00EF510E">
        <w:t xml:space="preserve">.2 </w:t>
      </w:r>
      <w:r w:rsidR="00E002CA" w:rsidRPr="00EF510E">
        <w:t xml:space="preserve">       </w:t>
      </w:r>
      <w:r>
        <w:t xml:space="preserve">      </w:t>
      </w:r>
      <w:r w:rsidR="002D0E1B" w:rsidRPr="00EF510E">
        <w:t>Organisatie, werkwijze en activiteiten</w:t>
      </w:r>
      <w:bookmarkEnd w:id="36"/>
    </w:p>
    <w:p w14:paraId="5135B67C" w14:textId="0408397E" w:rsidR="00A25FA9" w:rsidRPr="00B23134" w:rsidRDefault="00A25FA9" w:rsidP="00A25FA9">
      <w:pPr>
        <w:rPr>
          <w:szCs w:val="22"/>
        </w:rPr>
      </w:pPr>
      <w:r>
        <w:t xml:space="preserve">Het </w:t>
      </w:r>
      <w:r>
        <w:rPr>
          <w:szCs w:val="22"/>
        </w:rPr>
        <w:t>hoofdkwartier van UNODC is gevestigd in Wenen. Daarnaast heeft UNODC een wereldwijd netwerk van zo’n 50 kantoren (20 regionale en landenkantoren en zo’n 30 kleine projectkantoren) die in totaal in meer dan 150 landen actief zijn, het merendeel in ontwikkelings-</w:t>
      </w:r>
      <w:r w:rsidR="00397335">
        <w:rPr>
          <w:szCs w:val="22"/>
        </w:rPr>
        <w:t xml:space="preserve"> </w:t>
      </w:r>
      <w:r>
        <w:rPr>
          <w:szCs w:val="22"/>
        </w:rPr>
        <w:t xml:space="preserve">en transitielanden. </w:t>
      </w:r>
      <w:r>
        <w:t>UNODC had in 2015 246 projecten lopen in 68 verschillende landen.</w:t>
      </w:r>
      <w:r>
        <w:rPr>
          <w:szCs w:val="22"/>
        </w:rPr>
        <w:t xml:space="preserve"> </w:t>
      </w:r>
      <w:r w:rsidRPr="00B23134">
        <w:rPr>
          <w:iCs/>
          <w:szCs w:val="22"/>
        </w:rPr>
        <w:t xml:space="preserve">De Rus Yuri </w:t>
      </w:r>
      <w:proofErr w:type="spellStart"/>
      <w:r w:rsidRPr="00B23134">
        <w:rPr>
          <w:iCs/>
          <w:szCs w:val="22"/>
        </w:rPr>
        <w:t>Fedotov</w:t>
      </w:r>
      <w:proofErr w:type="spellEnd"/>
      <w:r w:rsidRPr="00B23134">
        <w:rPr>
          <w:iCs/>
          <w:szCs w:val="22"/>
        </w:rPr>
        <w:t xml:space="preserve"> is</w:t>
      </w:r>
      <w:r>
        <w:rPr>
          <w:iCs/>
          <w:szCs w:val="22"/>
        </w:rPr>
        <w:t xml:space="preserve"> sinds 2010</w:t>
      </w:r>
      <w:r w:rsidRPr="00B23134">
        <w:rPr>
          <w:iCs/>
          <w:szCs w:val="22"/>
        </w:rPr>
        <w:t xml:space="preserve"> de Uitvoerend Directeur van UNODC. Hij heeft de rang van </w:t>
      </w:r>
      <w:r w:rsidR="00494495" w:rsidRPr="00B23134">
        <w:rPr>
          <w:iCs/>
          <w:szCs w:val="22"/>
        </w:rPr>
        <w:t>Ondersecretaris-Generaal</w:t>
      </w:r>
      <w:r w:rsidRPr="00B23134">
        <w:rPr>
          <w:iCs/>
          <w:szCs w:val="22"/>
        </w:rPr>
        <w:t xml:space="preserve"> van de VN. </w:t>
      </w:r>
    </w:p>
    <w:p w14:paraId="4A885799" w14:textId="77777777" w:rsidR="00A25FA9" w:rsidRPr="00A25FA9" w:rsidRDefault="00A25FA9" w:rsidP="00A25FA9"/>
    <w:p w14:paraId="23F3E45D" w14:textId="79CA54B6" w:rsidR="00B23134" w:rsidRDefault="00E16467" w:rsidP="00A25FA9">
      <w:pPr>
        <w:rPr>
          <w:iCs/>
          <w:szCs w:val="22"/>
        </w:rPr>
      </w:pPr>
      <w:r w:rsidRPr="00A25FA9">
        <w:rPr>
          <w:iCs/>
          <w:szCs w:val="22"/>
        </w:rPr>
        <w:t xml:space="preserve">UNODC heeft twee bestuursorganen: </w:t>
      </w:r>
      <w:r w:rsidR="001F4636">
        <w:rPr>
          <w:iCs/>
          <w:szCs w:val="22"/>
        </w:rPr>
        <w:t>d</w:t>
      </w:r>
      <w:r w:rsidR="00B23134" w:rsidRPr="00A25FA9">
        <w:rPr>
          <w:iCs/>
          <w:szCs w:val="22"/>
        </w:rPr>
        <w:t xml:space="preserve">e </w:t>
      </w:r>
      <w:proofErr w:type="spellStart"/>
      <w:r w:rsidR="00CB063E" w:rsidRPr="002E1113">
        <w:rPr>
          <w:i/>
          <w:iCs/>
          <w:szCs w:val="22"/>
        </w:rPr>
        <w:t>Commission</w:t>
      </w:r>
      <w:proofErr w:type="spellEnd"/>
      <w:r w:rsidR="00CB063E" w:rsidRPr="002E1113">
        <w:rPr>
          <w:i/>
          <w:iCs/>
          <w:szCs w:val="22"/>
        </w:rPr>
        <w:t xml:space="preserve"> on </w:t>
      </w:r>
      <w:proofErr w:type="spellStart"/>
      <w:r w:rsidR="00CB063E" w:rsidRPr="002E1113">
        <w:rPr>
          <w:i/>
          <w:iCs/>
          <w:szCs w:val="22"/>
        </w:rPr>
        <w:t>Narcotic</w:t>
      </w:r>
      <w:proofErr w:type="spellEnd"/>
      <w:r w:rsidR="00CB063E" w:rsidRPr="002E1113">
        <w:rPr>
          <w:i/>
          <w:iCs/>
          <w:szCs w:val="22"/>
        </w:rPr>
        <w:t xml:space="preserve"> Drugs</w:t>
      </w:r>
      <w:r w:rsidR="00B23134" w:rsidRPr="00A25FA9">
        <w:rPr>
          <w:iCs/>
          <w:szCs w:val="22"/>
        </w:rPr>
        <w:t xml:space="preserve"> (CND) en de </w:t>
      </w:r>
      <w:proofErr w:type="spellStart"/>
      <w:r w:rsidR="00CB063E" w:rsidRPr="002E1113">
        <w:rPr>
          <w:i/>
          <w:iCs/>
          <w:szCs w:val="22"/>
        </w:rPr>
        <w:t>Commission</w:t>
      </w:r>
      <w:proofErr w:type="spellEnd"/>
      <w:r w:rsidR="00CB063E" w:rsidRPr="002E1113">
        <w:rPr>
          <w:i/>
          <w:iCs/>
          <w:szCs w:val="22"/>
        </w:rPr>
        <w:t xml:space="preserve"> on Crime Prevention </w:t>
      </w:r>
      <w:proofErr w:type="spellStart"/>
      <w:r w:rsidR="00CB063E" w:rsidRPr="002E1113">
        <w:rPr>
          <w:i/>
          <w:iCs/>
          <w:szCs w:val="22"/>
        </w:rPr>
        <w:t>and</w:t>
      </w:r>
      <w:proofErr w:type="spellEnd"/>
      <w:r w:rsidR="00CB063E" w:rsidRPr="002E1113">
        <w:rPr>
          <w:i/>
          <w:iCs/>
          <w:szCs w:val="22"/>
        </w:rPr>
        <w:t xml:space="preserve"> </w:t>
      </w:r>
      <w:proofErr w:type="spellStart"/>
      <w:r w:rsidR="00CB063E" w:rsidRPr="002E1113">
        <w:rPr>
          <w:i/>
          <w:iCs/>
          <w:szCs w:val="22"/>
        </w:rPr>
        <w:t>Criminal</w:t>
      </w:r>
      <w:proofErr w:type="spellEnd"/>
      <w:r w:rsidR="00CB063E" w:rsidRPr="002E1113">
        <w:rPr>
          <w:i/>
          <w:iCs/>
          <w:szCs w:val="22"/>
        </w:rPr>
        <w:t xml:space="preserve"> </w:t>
      </w:r>
      <w:proofErr w:type="spellStart"/>
      <w:r w:rsidR="00CB063E" w:rsidRPr="002E1113">
        <w:rPr>
          <w:i/>
          <w:iCs/>
          <w:szCs w:val="22"/>
        </w:rPr>
        <w:t>Justice</w:t>
      </w:r>
      <w:proofErr w:type="spellEnd"/>
      <w:r w:rsidR="00B23134" w:rsidRPr="00A25FA9">
        <w:rPr>
          <w:iCs/>
          <w:szCs w:val="22"/>
        </w:rPr>
        <w:t xml:space="preserve"> (CCPCJ) </w:t>
      </w:r>
      <w:r w:rsidRPr="00A25FA9">
        <w:rPr>
          <w:iCs/>
          <w:szCs w:val="22"/>
        </w:rPr>
        <w:t xml:space="preserve">Beiden </w:t>
      </w:r>
      <w:r w:rsidR="00B23134" w:rsidRPr="00A25FA9">
        <w:rPr>
          <w:iCs/>
          <w:szCs w:val="22"/>
        </w:rPr>
        <w:t xml:space="preserve">zijn functionele commissies van ECOSOC. Deze Commissies zetten het beleid uit en sturen formeel UNODC aan. Belangrijke beslissingen, zoals de goedkeuring van de begroting en de vierjaarlijkse strategie, behoeven tevens de instemming van ECOSOC. In 2009 werd door </w:t>
      </w:r>
      <w:r w:rsidR="001F4636">
        <w:rPr>
          <w:iCs/>
          <w:szCs w:val="22"/>
        </w:rPr>
        <w:t>de Economische en Sociale Raad van de Verenigde Naties (</w:t>
      </w:r>
      <w:r w:rsidR="00B23134" w:rsidRPr="00A25FA9">
        <w:rPr>
          <w:iCs/>
          <w:szCs w:val="22"/>
        </w:rPr>
        <w:t>ECOSOC</w:t>
      </w:r>
      <w:r w:rsidR="001F4636">
        <w:rPr>
          <w:iCs/>
          <w:szCs w:val="22"/>
        </w:rPr>
        <w:t>)</w:t>
      </w:r>
      <w:r w:rsidR="00B23134" w:rsidRPr="00A25FA9">
        <w:rPr>
          <w:iCs/>
          <w:szCs w:val="22"/>
        </w:rPr>
        <w:t xml:space="preserve"> een nieuwe commissie ingesteld, </w:t>
      </w:r>
      <w:r w:rsidR="00B23134" w:rsidRPr="00A25FA9">
        <w:rPr>
          <w:i/>
          <w:iCs/>
          <w:szCs w:val="22"/>
        </w:rPr>
        <w:t>The standing open-</w:t>
      </w:r>
      <w:proofErr w:type="spellStart"/>
      <w:r w:rsidR="00B23134" w:rsidRPr="00A25FA9">
        <w:rPr>
          <w:i/>
          <w:iCs/>
          <w:szCs w:val="22"/>
        </w:rPr>
        <w:t>ended</w:t>
      </w:r>
      <w:proofErr w:type="spellEnd"/>
      <w:r w:rsidR="00B23134" w:rsidRPr="00A25FA9">
        <w:rPr>
          <w:i/>
          <w:iCs/>
          <w:szCs w:val="22"/>
        </w:rPr>
        <w:t xml:space="preserve"> </w:t>
      </w:r>
      <w:proofErr w:type="spellStart"/>
      <w:r w:rsidR="00B23134" w:rsidRPr="00A25FA9">
        <w:rPr>
          <w:i/>
          <w:iCs/>
          <w:szCs w:val="22"/>
        </w:rPr>
        <w:t>intergovernmental</w:t>
      </w:r>
      <w:proofErr w:type="spellEnd"/>
      <w:r w:rsidR="00B23134" w:rsidRPr="00A25FA9">
        <w:rPr>
          <w:i/>
          <w:iCs/>
          <w:szCs w:val="22"/>
        </w:rPr>
        <w:t xml:space="preserve"> </w:t>
      </w:r>
      <w:proofErr w:type="spellStart"/>
      <w:r w:rsidR="00B23134" w:rsidRPr="00A25FA9">
        <w:rPr>
          <w:i/>
          <w:iCs/>
          <w:szCs w:val="22"/>
        </w:rPr>
        <w:t>working</w:t>
      </w:r>
      <w:proofErr w:type="spellEnd"/>
      <w:r w:rsidR="00B23134" w:rsidRPr="00A25FA9">
        <w:rPr>
          <w:i/>
          <w:iCs/>
          <w:szCs w:val="22"/>
        </w:rPr>
        <w:t xml:space="preserve"> </w:t>
      </w:r>
      <w:proofErr w:type="spellStart"/>
      <w:r w:rsidR="00B23134" w:rsidRPr="00A25FA9">
        <w:rPr>
          <w:i/>
          <w:iCs/>
          <w:szCs w:val="22"/>
        </w:rPr>
        <w:t>group</w:t>
      </w:r>
      <w:proofErr w:type="spellEnd"/>
      <w:r w:rsidR="00B23134" w:rsidRPr="00A25FA9">
        <w:rPr>
          <w:i/>
          <w:iCs/>
          <w:szCs w:val="22"/>
        </w:rPr>
        <w:t xml:space="preserve"> on </w:t>
      </w:r>
      <w:proofErr w:type="spellStart"/>
      <w:r w:rsidR="00B23134" w:rsidRPr="00A25FA9">
        <w:rPr>
          <w:i/>
          <w:iCs/>
          <w:szCs w:val="22"/>
        </w:rPr>
        <w:lastRenderedPageBreak/>
        <w:t>improving</w:t>
      </w:r>
      <w:proofErr w:type="spellEnd"/>
      <w:r w:rsidR="00B23134" w:rsidRPr="00A25FA9">
        <w:rPr>
          <w:i/>
          <w:iCs/>
          <w:szCs w:val="22"/>
        </w:rPr>
        <w:t xml:space="preserve"> the governance </w:t>
      </w:r>
      <w:proofErr w:type="spellStart"/>
      <w:r w:rsidR="00B23134" w:rsidRPr="00A25FA9">
        <w:rPr>
          <w:i/>
          <w:iCs/>
          <w:szCs w:val="22"/>
        </w:rPr>
        <w:t>and</w:t>
      </w:r>
      <w:proofErr w:type="spellEnd"/>
      <w:r w:rsidR="00B23134" w:rsidRPr="00A25FA9">
        <w:rPr>
          <w:i/>
          <w:iCs/>
          <w:szCs w:val="22"/>
        </w:rPr>
        <w:t xml:space="preserve"> financial </w:t>
      </w:r>
      <w:proofErr w:type="spellStart"/>
      <w:r w:rsidR="00B23134" w:rsidRPr="00A25FA9">
        <w:rPr>
          <w:i/>
          <w:iCs/>
          <w:szCs w:val="22"/>
        </w:rPr>
        <w:t>situation</w:t>
      </w:r>
      <w:proofErr w:type="spellEnd"/>
      <w:r w:rsidR="00B23134" w:rsidRPr="00A25FA9">
        <w:rPr>
          <w:i/>
          <w:iCs/>
          <w:szCs w:val="22"/>
        </w:rPr>
        <w:t xml:space="preserve"> of the UNODC</w:t>
      </w:r>
      <w:r w:rsidR="00D80662">
        <w:rPr>
          <w:i/>
          <w:iCs/>
          <w:szCs w:val="22"/>
        </w:rPr>
        <w:t xml:space="preserve"> (</w:t>
      </w:r>
      <w:proofErr w:type="spellStart"/>
      <w:r w:rsidR="00B23134" w:rsidRPr="00A25FA9">
        <w:rPr>
          <w:iCs/>
          <w:szCs w:val="22"/>
        </w:rPr>
        <w:t>FinGov</w:t>
      </w:r>
      <w:proofErr w:type="spellEnd"/>
      <w:r w:rsidR="00D80662">
        <w:rPr>
          <w:iCs/>
          <w:szCs w:val="22"/>
        </w:rPr>
        <w:t>)</w:t>
      </w:r>
      <w:r w:rsidR="00B23134" w:rsidRPr="00A25FA9">
        <w:rPr>
          <w:iCs/>
          <w:szCs w:val="22"/>
        </w:rPr>
        <w:t xml:space="preserve">. </w:t>
      </w:r>
      <w:proofErr w:type="spellStart"/>
      <w:r w:rsidR="00B23134" w:rsidRPr="00A25FA9">
        <w:rPr>
          <w:iCs/>
          <w:szCs w:val="22"/>
        </w:rPr>
        <w:t>FinGov</w:t>
      </w:r>
      <w:proofErr w:type="spellEnd"/>
      <w:r w:rsidR="00B23134" w:rsidRPr="00A25FA9">
        <w:rPr>
          <w:iCs/>
          <w:szCs w:val="22"/>
        </w:rPr>
        <w:t xml:space="preserve"> is bedoeld om financiële en bestuurlijke kwesties meer in detail te bespreken</w:t>
      </w:r>
      <w:r w:rsidR="00332D50" w:rsidRPr="00A25FA9">
        <w:rPr>
          <w:iCs/>
          <w:szCs w:val="22"/>
        </w:rPr>
        <w:t xml:space="preserve"> tussen de lidstaten en het secretariaat</w:t>
      </w:r>
      <w:r w:rsidR="00B23134" w:rsidRPr="00A25FA9">
        <w:rPr>
          <w:iCs/>
          <w:szCs w:val="22"/>
        </w:rPr>
        <w:t xml:space="preserve">. De oprichting van </w:t>
      </w:r>
      <w:proofErr w:type="spellStart"/>
      <w:r w:rsidR="00B23134" w:rsidRPr="00A25FA9">
        <w:rPr>
          <w:iCs/>
          <w:szCs w:val="22"/>
        </w:rPr>
        <w:t>FinGov</w:t>
      </w:r>
      <w:proofErr w:type="spellEnd"/>
      <w:r w:rsidR="00B23134" w:rsidRPr="00A25FA9">
        <w:rPr>
          <w:iCs/>
          <w:szCs w:val="22"/>
        </w:rPr>
        <w:t xml:space="preserve"> heeft als positief effect dat deze vraagstukken meer geconcentreerde aandacht krijgen</w:t>
      </w:r>
      <w:r w:rsidR="00332D50" w:rsidRPr="00A25FA9">
        <w:rPr>
          <w:iCs/>
          <w:szCs w:val="22"/>
        </w:rPr>
        <w:t>: budget,</w:t>
      </w:r>
      <w:r w:rsidR="00CA2B89" w:rsidRPr="00A25FA9">
        <w:rPr>
          <w:iCs/>
          <w:szCs w:val="22"/>
        </w:rPr>
        <w:t xml:space="preserve"> evaluatie,</w:t>
      </w:r>
      <w:r w:rsidR="00332D50" w:rsidRPr="00A25FA9">
        <w:rPr>
          <w:iCs/>
          <w:szCs w:val="22"/>
        </w:rPr>
        <w:t xml:space="preserve"> gendergelijkheid, implementatie van</w:t>
      </w:r>
      <w:r w:rsidR="002E1113">
        <w:rPr>
          <w:iCs/>
          <w:szCs w:val="22"/>
        </w:rPr>
        <w:t xml:space="preserve"> het </w:t>
      </w:r>
      <w:r w:rsidR="00494495">
        <w:rPr>
          <w:iCs/>
          <w:szCs w:val="22"/>
        </w:rPr>
        <w:t>ICT-systeem</w:t>
      </w:r>
      <w:r w:rsidR="00332D50" w:rsidRPr="00A25FA9">
        <w:rPr>
          <w:iCs/>
          <w:szCs w:val="22"/>
        </w:rPr>
        <w:t xml:space="preserve"> UMOJA</w:t>
      </w:r>
      <w:r w:rsidR="00B46434">
        <w:rPr>
          <w:iCs/>
          <w:szCs w:val="22"/>
        </w:rPr>
        <w:t xml:space="preserve"> (Swahili voor Eenheid)</w:t>
      </w:r>
      <w:r w:rsidR="00332D50" w:rsidRPr="00A25FA9">
        <w:rPr>
          <w:iCs/>
          <w:szCs w:val="22"/>
        </w:rPr>
        <w:t xml:space="preserve"> staan op de agenda van </w:t>
      </w:r>
      <w:proofErr w:type="spellStart"/>
      <w:r w:rsidR="00332D50" w:rsidRPr="00A25FA9">
        <w:rPr>
          <w:iCs/>
          <w:szCs w:val="22"/>
        </w:rPr>
        <w:t>FinGov</w:t>
      </w:r>
      <w:proofErr w:type="spellEnd"/>
      <w:r w:rsidR="00332D50" w:rsidRPr="00A25FA9">
        <w:rPr>
          <w:iCs/>
          <w:szCs w:val="22"/>
        </w:rPr>
        <w:t>.</w:t>
      </w:r>
      <w:r w:rsidR="00B23134" w:rsidRPr="00A25FA9">
        <w:rPr>
          <w:iCs/>
          <w:szCs w:val="22"/>
        </w:rPr>
        <w:t xml:space="preserve"> De formele verantwoordelijkheid voor de algehele aansturing van UNODC blijft onverminderd bij CND en CCPCJ</w:t>
      </w:r>
      <w:r w:rsidR="00332D50" w:rsidRPr="00A25FA9">
        <w:rPr>
          <w:iCs/>
          <w:szCs w:val="22"/>
        </w:rPr>
        <w:t xml:space="preserve">, aan wie de </w:t>
      </w:r>
      <w:proofErr w:type="spellStart"/>
      <w:r w:rsidR="00332D50" w:rsidRPr="00A25FA9">
        <w:rPr>
          <w:iCs/>
          <w:szCs w:val="22"/>
        </w:rPr>
        <w:t>FinGov</w:t>
      </w:r>
      <w:proofErr w:type="spellEnd"/>
      <w:r w:rsidR="00332D50" w:rsidRPr="00A25FA9">
        <w:rPr>
          <w:iCs/>
          <w:szCs w:val="22"/>
        </w:rPr>
        <w:t xml:space="preserve"> rapporteert</w:t>
      </w:r>
      <w:r w:rsidR="00B23134" w:rsidRPr="00A25FA9">
        <w:rPr>
          <w:iCs/>
          <w:szCs w:val="22"/>
        </w:rPr>
        <w:t>.</w:t>
      </w:r>
    </w:p>
    <w:p w14:paraId="7734D8AF" w14:textId="77777777" w:rsidR="0002330E" w:rsidRDefault="0002330E" w:rsidP="0002330E">
      <w:bookmarkStart w:id="37" w:name="_Toc479602602"/>
      <w:bookmarkStart w:id="38" w:name="_Toc479608858"/>
    </w:p>
    <w:p w14:paraId="260F32B9" w14:textId="1C97E965" w:rsidR="00E002CA" w:rsidRDefault="00E002CA" w:rsidP="0002330E">
      <w:pPr>
        <w:rPr>
          <w:b/>
        </w:rPr>
      </w:pPr>
      <w:r>
        <w:t xml:space="preserve">Het mandaat en de </w:t>
      </w:r>
      <w:r w:rsidR="006875B7">
        <w:t>programma’s</w:t>
      </w:r>
      <w:r>
        <w:t xml:space="preserve"> van </w:t>
      </w:r>
      <w:r w:rsidRPr="007D6744">
        <w:t xml:space="preserve">UNODC </w:t>
      </w:r>
      <w:r>
        <w:t>dragen bij</w:t>
      </w:r>
      <w:r w:rsidRPr="007D6744">
        <w:t xml:space="preserve"> aan</w:t>
      </w:r>
      <w:r>
        <w:t xml:space="preserve"> het behalen van</w:t>
      </w:r>
      <w:r w:rsidRPr="007D6744">
        <w:t xml:space="preserve"> de SDG</w:t>
      </w:r>
      <w:r>
        <w:t>-</w:t>
      </w:r>
      <w:r w:rsidRPr="007D6744">
        <w:t>agenda</w:t>
      </w:r>
      <w:r w:rsidR="001815A4">
        <w:t>,</w:t>
      </w:r>
      <w:r w:rsidRPr="007D6744">
        <w:t xml:space="preserve"> met name op het vlak van vrede</w:t>
      </w:r>
      <w:r>
        <w:t xml:space="preserve">, </w:t>
      </w:r>
      <w:r w:rsidRPr="007D6744">
        <w:t>veiligheid</w:t>
      </w:r>
      <w:r>
        <w:t xml:space="preserve"> en </w:t>
      </w:r>
      <w:r w:rsidRPr="000A5E48">
        <w:t xml:space="preserve">rechtsstatelijkheid. Het werk van UNODC draagt bij aan het behalen van alle </w:t>
      </w:r>
      <w:r w:rsidRPr="000A5E48">
        <w:rPr>
          <w:i/>
        </w:rPr>
        <w:t xml:space="preserve">targets </w:t>
      </w:r>
      <w:r w:rsidRPr="000A5E48">
        <w:t>onder SDG 16 (</w:t>
      </w:r>
      <w:r w:rsidR="001815A4" w:rsidRPr="000A5E48">
        <w:t>Vrede, Veiligheid en Rechtvaardigheid</w:t>
      </w:r>
      <w:r w:rsidRPr="000A5E48">
        <w:t xml:space="preserve">). Het boeken van vooruitgang op doelstelling 16 </w:t>
      </w:r>
      <w:r w:rsidR="001815A4" w:rsidRPr="000A5E48">
        <w:t xml:space="preserve">en de strijd tegen transnationale georganiseerde misdaad </w:t>
      </w:r>
      <w:r w:rsidRPr="000A5E48">
        <w:t>wordt beschouwd als noodzakelijk voor het behalen van een groot aantal andere doelstellingen van Agenda 2030</w:t>
      </w:r>
      <w:r w:rsidR="001815A4" w:rsidRPr="000A5E48">
        <w:t>, in het bijzonder die op het gebied van gezondheid</w:t>
      </w:r>
      <w:r w:rsidR="00E600B7" w:rsidRPr="000A5E48">
        <w:t xml:space="preserve"> (3), duurzaam gebruik van oceanen (14) en bescherming van ecosystemen</w:t>
      </w:r>
      <w:r w:rsidR="00B44906">
        <w:t xml:space="preserve"> </w:t>
      </w:r>
      <w:r w:rsidR="00E600B7" w:rsidRPr="000A5E48">
        <w:t>(15)</w:t>
      </w:r>
      <w:r w:rsidRPr="000A5E48">
        <w:t>.</w:t>
      </w:r>
      <w:r w:rsidR="00BB0687" w:rsidRPr="000A5E48">
        <w:t xml:space="preserve"> </w:t>
      </w:r>
      <w:r w:rsidRPr="000A5E48">
        <w:t>UNODC draagt dan ook (in)direct aan bij aan deze doelstellingen. Specifiek speelt UNODC, vanuit haar mandaat op drugbeleid</w:t>
      </w:r>
      <w:r>
        <w:t>, ook een rol bij het behalen van target 3.3 (</w:t>
      </w:r>
      <w:proofErr w:type="spellStart"/>
      <w:r w:rsidR="00CB063E" w:rsidRPr="002E1113">
        <w:rPr>
          <w:i/>
        </w:rPr>
        <w:t>strengthening</w:t>
      </w:r>
      <w:proofErr w:type="spellEnd"/>
      <w:r w:rsidR="00CB063E" w:rsidRPr="002E1113">
        <w:rPr>
          <w:i/>
        </w:rPr>
        <w:t xml:space="preserve"> prevention </w:t>
      </w:r>
      <w:proofErr w:type="spellStart"/>
      <w:r w:rsidR="00CB063E" w:rsidRPr="002E1113">
        <w:rPr>
          <w:i/>
        </w:rPr>
        <w:t>and</w:t>
      </w:r>
      <w:proofErr w:type="spellEnd"/>
      <w:r w:rsidR="00CB063E" w:rsidRPr="002E1113">
        <w:rPr>
          <w:i/>
        </w:rPr>
        <w:t xml:space="preserve"> treatment of </w:t>
      </w:r>
      <w:proofErr w:type="spellStart"/>
      <w:r w:rsidR="00CB063E" w:rsidRPr="002E1113">
        <w:rPr>
          <w:i/>
        </w:rPr>
        <w:t>substance</w:t>
      </w:r>
      <w:proofErr w:type="spellEnd"/>
      <w:r w:rsidR="00CB063E" w:rsidRPr="002E1113">
        <w:rPr>
          <w:i/>
        </w:rPr>
        <w:t xml:space="preserve"> </w:t>
      </w:r>
      <w:proofErr w:type="spellStart"/>
      <w:r w:rsidR="00CB063E" w:rsidRPr="002E1113">
        <w:rPr>
          <w:i/>
        </w:rPr>
        <w:t>abuse</w:t>
      </w:r>
      <w:proofErr w:type="spellEnd"/>
      <w:r w:rsidRPr="00A25FA9">
        <w:t>), 3.5 (</w:t>
      </w:r>
      <w:proofErr w:type="spellStart"/>
      <w:r w:rsidR="00CB063E" w:rsidRPr="002E1113">
        <w:rPr>
          <w:i/>
        </w:rPr>
        <w:t>ending</w:t>
      </w:r>
      <w:proofErr w:type="spellEnd"/>
      <w:r w:rsidR="00CB063E" w:rsidRPr="002E1113">
        <w:rPr>
          <w:i/>
        </w:rPr>
        <w:t xml:space="preserve"> aids</w:t>
      </w:r>
      <w:r w:rsidRPr="00A25FA9">
        <w:t>) en 3.8 (</w:t>
      </w:r>
      <w:r w:rsidR="00CB063E" w:rsidRPr="002E1113">
        <w:rPr>
          <w:i/>
        </w:rPr>
        <w:t xml:space="preserve">access </w:t>
      </w:r>
      <w:proofErr w:type="spellStart"/>
      <w:r w:rsidR="00CB063E" w:rsidRPr="002E1113">
        <w:rPr>
          <w:i/>
        </w:rPr>
        <w:t>to</w:t>
      </w:r>
      <w:proofErr w:type="spellEnd"/>
      <w:r w:rsidR="00CB063E" w:rsidRPr="002E1113">
        <w:rPr>
          <w:i/>
        </w:rPr>
        <w:t xml:space="preserve"> </w:t>
      </w:r>
      <w:proofErr w:type="spellStart"/>
      <w:r w:rsidR="00CB063E" w:rsidRPr="002E1113">
        <w:rPr>
          <w:i/>
        </w:rPr>
        <w:t>essential</w:t>
      </w:r>
      <w:proofErr w:type="spellEnd"/>
      <w:r w:rsidR="00CB063E" w:rsidRPr="002E1113">
        <w:rPr>
          <w:i/>
        </w:rPr>
        <w:t xml:space="preserve"> </w:t>
      </w:r>
      <w:proofErr w:type="spellStart"/>
      <w:r w:rsidR="00CB063E" w:rsidRPr="002E1113">
        <w:rPr>
          <w:i/>
        </w:rPr>
        <w:t>medicines</w:t>
      </w:r>
      <w:proofErr w:type="spellEnd"/>
      <w:r w:rsidRPr="00A25FA9">
        <w:t>).</w:t>
      </w:r>
      <w:bookmarkEnd w:id="37"/>
      <w:bookmarkEnd w:id="38"/>
      <w:r w:rsidRPr="00A25FA9">
        <w:t xml:space="preserve"> </w:t>
      </w:r>
    </w:p>
    <w:p w14:paraId="012FC36B" w14:textId="77777777" w:rsidR="000933F1" w:rsidRDefault="000933F1" w:rsidP="0002330E"/>
    <w:p w14:paraId="12C38AC5" w14:textId="0B628B55" w:rsidR="000933F1" w:rsidRDefault="000933F1" w:rsidP="0002330E">
      <w:r w:rsidRPr="000933F1">
        <w:t xml:space="preserve">In december 2012 werd de </w:t>
      </w:r>
      <w:r w:rsidR="00B44906">
        <w:t>Algemene Vergadering van de Verenigde Naties (</w:t>
      </w:r>
      <w:r w:rsidRPr="000933F1">
        <w:t>AVVN</w:t>
      </w:r>
      <w:r w:rsidR="00B44906">
        <w:t xml:space="preserve">) </w:t>
      </w:r>
      <w:r w:rsidRPr="000933F1">
        <w:t xml:space="preserve">Resolutie 67/226 over de </w:t>
      </w:r>
      <w:proofErr w:type="spellStart"/>
      <w:r w:rsidR="006875B7">
        <w:rPr>
          <w:i/>
        </w:rPr>
        <w:t>Q</w:t>
      </w:r>
      <w:r w:rsidR="00CB063E" w:rsidRPr="002E1113">
        <w:rPr>
          <w:i/>
        </w:rPr>
        <w:t>uardrennial</w:t>
      </w:r>
      <w:proofErr w:type="spellEnd"/>
      <w:r w:rsidR="00CB063E" w:rsidRPr="002E1113">
        <w:rPr>
          <w:i/>
        </w:rPr>
        <w:t xml:space="preserve"> </w:t>
      </w:r>
      <w:proofErr w:type="spellStart"/>
      <w:r w:rsidR="006875B7">
        <w:rPr>
          <w:i/>
        </w:rPr>
        <w:t>C</w:t>
      </w:r>
      <w:r w:rsidR="00CB063E" w:rsidRPr="002E1113">
        <w:rPr>
          <w:i/>
        </w:rPr>
        <w:t>omprehenisive</w:t>
      </w:r>
      <w:proofErr w:type="spellEnd"/>
      <w:r w:rsidR="00CB063E" w:rsidRPr="002E1113">
        <w:rPr>
          <w:i/>
        </w:rPr>
        <w:t xml:space="preserve"> </w:t>
      </w:r>
      <w:r w:rsidR="006875B7">
        <w:rPr>
          <w:i/>
        </w:rPr>
        <w:t>P</w:t>
      </w:r>
      <w:r w:rsidR="00CB063E" w:rsidRPr="002E1113">
        <w:rPr>
          <w:i/>
        </w:rPr>
        <w:t xml:space="preserve">olicy </w:t>
      </w:r>
      <w:r w:rsidR="006875B7">
        <w:rPr>
          <w:i/>
        </w:rPr>
        <w:t>R</w:t>
      </w:r>
      <w:r w:rsidR="00CB063E" w:rsidRPr="002E1113">
        <w:rPr>
          <w:i/>
        </w:rPr>
        <w:t>eview</w:t>
      </w:r>
      <w:r w:rsidR="006875B7">
        <w:t xml:space="preserve"> </w:t>
      </w:r>
      <w:r w:rsidRPr="000933F1">
        <w:t xml:space="preserve">(QCPR) van operationele activiteiten op het gebied van ontwikkelingssamenwerking aangenomen. </w:t>
      </w:r>
      <w:r w:rsidR="00E600B7">
        <w:t xml:space="preserve">UNODC is, als lid van de </w:t>
      </w:r>
      <w:r w:rsidR="00CB063E" w:rsidRPr="002E1113">
        <w:rPr>
          <w:i/>
        </w:rPr>
        <w:t>United Nations Development Group</w:t>
      </w:r>
      <w:r w:rsidR="006875B7">
        <w:t xml:space="preserve"> (UNDP)</w:t>
      </w:r>
      <w:r w:rsidR="001F52B3">
        <w:t>,</w:t>
      </w:r>
      <w:r w:rsidR="00E600B7">
        <w:t xml:space="preserve"> gebonden aan de uitkomsten van de QCPR maar is als zodanig niet een typische ontwikkelingsorganisatie</w:t>
      </w:r>
      <w:r w:rsidR="00F40BA0">
        <w:t>,</w:t>
      </w:r>
      <w:r w:rsidR="00E600B7">
        <w:t xml:space="preserve"> bovendien heeft het doordat het onderdeel is van het VN-secretariaat </w:t>
      </w:r>
      <w:r w:rsidR="00F40BA0">
        <w:t xml:space="preserve">op een aantal aanbevelingen die gevolgd moeten worden geen directe invloed. Maar UNODC heeft </w:t>
      </w:r>
      <w:proofErr w:type="spellStart"/>
      <w:r w:rsidR="00CB063E" w:rsidRPr="002E1113">
        <w:rPr>
          <w:i/>
        </w:rPr>
        <w:t>focal</w:t>
      </w:r>
      <w:proofErr w:type="spellEnd"/>
      <w:r w:rsidR="00CB063E" w:rsidRPr="002E1113">
        <w:rPr>
          <w:i/>
        </w:rPr>
        <w:t xml:space="preserve"> points</w:t>
      </w:r>
      <w:r w:rsidR="00F40BA0">
        <w:t xml:space="preserve"> voor alle werkgroepen die </w:t>
      </w:r>
      <w:r w:rsidR="001F52B3">
        <w:t xml:space="preserve">de implementatie uitwerken en rapporteert jaarlijks aan de SG over </w:t>
      </w:r>
      <w:r w:rsidR="00B44906">
        <w:t xml:space="preserve">de </w:t>
      </w:r>
      <w:r w:rsidR="001F52B3">
        <w:t xml:space="preserve">voortgang. </w:t>
      </w:r>
    </w:p>
    <w:p w14:paraId="5E87F5B9" w14:textId="26B72CFC" w:rsidR="00413A3D" w:rsidRDefault="00413A3D" w:rsidP="0002330E"/>
    <w:p w14:paraId="432C0A12" w14:textId="53883085" w:rsidR="00B23134" w:rsidRDefault="00413A3D" w:rsidP="00B95FF2">
      <w:r>
        <w:t>UNODC hanteert in so</w:t>
      </w:r>
      <w:r w:rsidR="00D031D6">
        <w:t xml:space="preserve">mmige landen het </w:t>
      </w:r>
      <w:r w:rsidR="00D031D6" w:rsidRPr="00494495">
        <w:rPr>
          <w:i/>
        </w:rPr>
        <w:t xml:space="preserve">Delivering as </w:t>
      </w:r>
      <w:proofErr w:type="spellStart"/>
      <w:r w:rsidR="00D031D6" w:rsidRPr="00494495">
        <w:rPr>
          <w:i/>
        </w:rPr>
        <w:t>O</w:t>
      </w:r>
      <w:r w:rsidRPr="00494495">
        <w:rPr>
          <w:i/>
        </w:rPr>
        <w:t>ne</w:t>
      </w:r>
      <w:proofErr w:type="spellEnd"/>
      <w:r>
        <w:t xml:space="preserve"> principe</w:t>
      </w:r>
      <w:r w:rsidR="00D031D6">
        <w:t>, waar mogelijk</w:t>
      </w:r>
      <w:r>
        <w:t xml:space="preserve">. Dit is niet standaard zo, maar in gevallen waar bijvoorbeeld projecten vanuit een overkoepelend </w:t>
      </w:r>
      <w:r w:rsidR="00D031D6">
        <w:t>UN Trustfonds gecoö</w:t>
      </w:r>
      <w:r>
        <w:t>rdineerd worden. Als daar onderdelen in zitten die onder het mandaat van UNODC vallen, dan dragen ze via dit principe bij. Voorbeelden van landen waar dit gebeurt zijn Malawi en Vietnam.</w:t>
      </w:r>
    </w:p>
    <w:p w14:paraId="2ABA31DD" w14:textId="77777777" w:rsidR="005A1763" w:rsidRPr="0002330E" w:rsidRDefault="005A1763" w:rsidP="00B95FF2"/>
    <w:p w14:paraId="05A57777" w14:textId="4CC2818E" w:rsidR="00D745A7" w:rsidRPr="00175E1B" w:rsidRDefault="0002330E" w:rsidP="00F24A31">
      <w:pPr>
        <w:pStyle w:val="Heading2"/>
        <w:tabs>
          <w:tab w:val="left" w:pos="-1162"/>
          <w:tab w:val="left" w:pos="0"/>
          <w:tab w:val="num" w:pos="1160"/>
        </w:tabs>
        <w:spacing w:line="240" w:lineRule="auto"/>
        <w:ind w:hanging="1162"/>
        <w:rPr>
          <w:szCs w:val="18"/>
        </w:rPr>
      </w:pPr>
      <w:bookmarkStart w:id="39" w:name="_Toc479602603"/>
      <w:bookmarkStart w:id="40" w:name="_Toc491442786"/>
      <w:r>
        <w:t>3</w:t>
      </w:r>
      <w:r w:rsidR="00F24A31">
        <w:t xml:space="preserve">.3 </w:t>
      </w:r>
      <w:r w:rsidR="00F24A31">
        <w:tab/>
      </w:r>
      <w:r w:rsidR="00D745A7" w:rsidRPr="00175E1B">
        <w:rPr>
          <w:szCs w:val="18"/>
        </w:rPr>
        <w:t xml:space="preserve">Nederlandse </w:t>
      </w:r>
      <w:r w:rsidR="000304C1" w:rsidRPr="00175E1B">
        <w:rPr>
          <w:szCs w:val="18"/>
        </w:rPr>
        <w:t xml:space="preserve">rol en </w:t>
      </w:r>
      <w:r w:rsidR="007E71F3">
        <w:rPr>
          <w:szCs w:val="18"/>
        </w:rPr>
        <w:t>i</w:t>
      </w:r>
      <w:r w:rsidR="000304C1" w:rsidRPr="00175E1B">
        <w:rPr>
          <w:szCs w:val="18"/>
        </w:rPr>
        <w:t>nvloed</w:t>
      </w:r>
      <w:bookmarkEnd w:id="39"/>
      <w:bookmarkEnd w:id="40"/>
    </w:p>
    <w:p w14:paraId="500B36A2" w14:textId="384BE13F" w:rsidR="009F4500" w:rsidRDefault="00D1717F" w:rsidP="009F76F6">
      <w:pPr>
        <w:pStyle w:val="NormalWeb"/>
        <w:rPr>
          <w:szCs w:val="18"/>
        </w:rPr>
      </w:pPr>
      <w:r>
        <w:rPr>
          <w:szCs w:val="18"/>
        </w:rPr>
        <w:t xml:space="preserve">Nederland oefent </w:t>
      </w:r>
      <w:r w:rsidR="009F4500">
        <w:rPr>
          <w:szCs w:val="18"/>
        </w:rPr>
        <w:t>langs verschillende lijnen invloed uit op UN</w:t>
      </w:r>
      <w:r w:rsidR="000A5E48">
        <w:rPr>
          <w:szCs w:val="18"/>
        </w:rPr>
        <w:t>ODC en de implementatie van het</w:t>
      </w:r>
      <w:r w:rsidR="009F4500">
        <w:rPr>
          <w:szCs w:val="18"/>
        </w:rPr>
        <w:t xml:space="preserve"> mandaat. Allereerst </w:t>
      </w:r>
      <w:r w:rsidR="007E71F3">
        <w:rPr>
          <w:szCs w:val="18"/>
        </w:rPr>
        <w:t xml:space="preserve">ondersteunt </w:t>
      </w:r>
      <w:r w:rsidR="009F4500" w:rsidRPr="00175E1B">
        <w:rPr>
          <w:szCs w:val="18"/>
        </w:rPr>
        <w:t>Nederland</w:t>
      </w:r>
      <w:r w:rsidR="009F4500">
        <w:rPr>
          <w:szCs w:val="18"/>
        </w:rPr>
        <w:t xml:space="preserve"> de implementatie van </w:t>
      </w:r>
      <w:r w:rsidR="007E71F3">
        <w:rPr>
          <w:szCs w:val="18"/>
        </w:rPr>
        <w:t xml:space="preserve">diverse </w:t>
      </w:r>
      <w:r w:rsidR="00C755DC" w:rsidRPr="00175E1B">
        <w:rPr>
          <w:szCs w:val="18"/>
        </w:rPr>
        <w:t xml:space="preserve">projecten </w:t>
      </w:r>
      <w:r w:rsidR="00B441E5">
        <w:rPr>
          <w:szCs w:val="18"/>
        </w:rPr>
        <w:t xml:space="preserve">van </w:t>
      </w:r>
      <w:r w:rsidR="00C755DC" w:rsidRPr="00175E1B">
        <w:rPr>
          <w:szCs w:val="18"/>
        </w:rPr>
        <w:t>UNODC</w:t>
      </w:r>
      <w:r w:rsidR="00BB0687">
        <w:rPr>
          <w:szCs w:val="18"/>
        </w:rPr>
        <w:t xml:space="preserve"> </w:t>
      </w:r>
      <w:r w:rsidR="009F4500">
        <w:rPr>
          <w:szCs w:val="18"/>
        </w:rPr>
        <w:t xml:space="preserve">die aansluiten bij Nederlandse beleidsprioriteiten op zowel het terrein van </w:t>
      </w:r>
      <w:r w:rsidR="006C23DF">
        <w:rPr>
          <w:szCs w:val="18"/>
        </w:rPr>
        <w:t>drugs als criminaliteit</w:t>
      </w:r>
      <w:r w:rsidR="00C755DC" w:rsidRPr="00175E1B">
        <w:rPr>
          <w:szCs w:val="18"/>
        </w:rPr>
        <w:t>.</w:t>
      </w:r>
      <w:r w:rsidR="009F4500">
        <w:rPr>
          <w:szCs w:val="18"/>
        </w:rPr>
        <w:t xml:space="preserve"> Dit gebeurt zowel financieel als door het leveren van expertise. </w:t>
      </w:r>
    </w:p>
    <w:p w14:paraId="4926C232" w14:textId="77777777" w:rsidR="00473662" w:rsidRDefault="00473662" w:rsidP="009F76F6">
      <w:pPr>
        <w:pStyle w:val="NormalWeb"/>
        <w:rPr>
          <w:szCs w:val="18"/>
        </w:rPr>
      </w:pPr>
    </w:p>
    <w:p w14:paraId="5AC4328D" w14:textId="67C6FFFF" w:rsidR="00876513" w:rsidRDefault="00E21D6F" w:rsidP="009F76F6">
      <w:pPr>
        <w:pStyle w:val="NormalWeb"/>
        <w:rPr>
          <w:szCs w:val="18"/>
        </w:rPr>
      </w:pPr>
      <w:r>
        <w:rPr>
          <w:szCs w:val="18"/>
        </w:rPr>
        <w:t>Daarnaast praat Nederland mee in de beide bestuu</w:t>
      </w:r>
      <w:r w:rsidR="00E942F5">
        <w:rPr>
          <w:szCs w:val="18"/>
        </w:rPr>
        <w:t xml:space="preserve">rsorganen van UNODC en in </w:t>
      </w:r>
      <w:proofErr w:type="spellStart"/>
      <w:r w:rsidR="00E942F5">
        <w:rPr>
          <w:szCs w:val="18"/>
        </w:rPr>
        <w:t>FinGov</w:t>
      </w:r>
      <w:proofErr w:type="spellEnd"/>
      <w:r>
        <w:rPr>
          <w:szCs w:val="18"/>
        </w:rPr>
        <w:t xml:space="preserve">. </w:t>
      </w:r>
      <w:r w:rsidR="009F76F6" w:rsidRPr="00175E1B">
        <w:rPr>
          <w:szCs w:val="18"/>
        </w:rPr>
        <w:t xml:space="preserve">Gelet op de belangrijke rol van </w:t>
      </w:r>
      <w:r w:rsidR="00800E45">
        <w:rPr>
          <w:szCs w:val="18"/>
        </w:rPr>
        <w:t xml:space="preserve">de </w:t>
      </w:r>
      <w:r w:rsidR="009F76F6" w:rsidRPr="00175E1B">
        <w:rPr>
          <w:szCs w:val="18"/>
        </w:rPr>
        <w:t>CND bij het bepalen van het internationale drugsbeleid en bij de interpretatie van de internationale drugsverdragen</w:t>
      </w:r>
      <w:r w:rsidR="00800E45">
        <w:rPr>
          <w:szCs w:val="18"/>
        </w:rPr>
        <w:t>,</w:t>
      </w:r>
      <w:r w:rsidR="009F76F6" w:rsidRPr="00175E1B">
        <w:rPr>
          <w:szCs w:val="18"/>
        </w:rPr>
        <w:t xml:space="preserve"> </w:t>
      </w:r>
      <w:r w:rsidR="006C23DF">
        <w:rPr>
          <w:szCs w:val="18"/>
        </w:rPr>
        <w:t>is een zetel hierin voor Nederland relevant.</w:t>
      </w:r>
      <w:r w:rsidR="009F76F6" w:rsidRPr="00175E1B">
        <w:rPr>
          <w:szCs w:val="18"/>
        </w:rPr>
        <w:t xml:space="preserve"> </w:t>
      </w:r>
      <w:r w:rsidR="000A5E48" w:rsidRPr="00175E1B">
        <w:rPr>
          <w:szCs w:val="18"/>
        </w:rPr>
        <w:t xml:space="preserve">Nederland </w:t>
      </w:r>
      <w:r w:rsidR="000A5E48">
        <w:rPr>
          <w:szCs w:val="18"/>
        </w:rPr>
        <w:t>werd onlangs</w:t>
      </w:r>
      <w:r w:rsidR="000A5E48" w:rsidRPr="00175E1B">
        <w:rPr>
          <w:szCs w:val="18"/>
        </w:rPr>
        <w:t xml:space="preserve"> </w:t>
      </w:r>
      <w:r w:rsidR="000A5E48">
        <w:rPr>
          <w:szCs w:val="18"/>
        </w:rPr>
        <w:t xml:space="preserve">hiervoor </w:t>
      </w:r>
      <w:r w:rsidR="000A5E48" w:rsidRPr="00175E1B">
        <w:rPr>
          <w:szCs w:val="18"/>
        </w:rPr>
        <w:t>herkozen</w:t>
      </w:r>
      <w:r w:rsidR="000A5E48">
        <w:rPr>
          <w:szCs w:val="18"/>
        </w:rPr>
        <w:t>, via de ECOSOC, voor de periode 2016-2019 (a</w:t>
      </w:r>
      <w:r w:rsidR="00C07075">
        <w:rPr>
          <w:szCs w:val="18"/>
        </w:rPr>
        <w:t>l kunnen in de praktijk alle VN-lidstaten meepraten in de vergadering</w:t>
      </w:r>
      <w:r w:rsidR="000A5E48">
        <w:rPr>
          <w:szCs w:val="18"/>
        </w:rPr>
        <w:t>)</w:t>
      </w:r>
      <w:r w:rsidR="00C07075">
        <w:rPr>
          <w:szCs w:val="18"/>
        </w:rPr>
        <w:t xml:space="preserve">. </w:t>
      </w:r>
      <w:r w:rsidR="00332D50">
        <w:rPr>
          <w:szCs w:val="18"/>
        </w:rPr>
        <w:t>Aan vergadering van de CND wordt deelgenomen door P</w:t>
      </w:r>
      <w:r w:rsidR="002E1113">
        <w:rPr>
          <w:szCs w:val="18"/>
        </w:rPr>
        <w:t xml:space="preserve">ermanente </w:t>
      </w:r>
      <w:r w:rsidR="00332D50">
        <w:rPr>
          <w:szCs w:val="18"/>
        </w:rPr>
        <w:t>V</w:t>
      </w:r>
      <w:r w:rsidR="002E1113">
        <w:rPr>
          <w:szCs w:val="18"/>
        </w:rPr>
        <w:t>ertegenwoordiging</w:t>
      </w:r>
      <w:r w:rsidR="00332D50">
        <w:rPr>
          <w:szCs w:val="18"/>
        </w:rPr>
        <w:t xml:space="preserve"> Wenen en experts van</w:t>
      </w:r>
      <w:r w:rsidR="0015449A">
        <w:rPr>
          <w:szCs w:val="18"/>
        </w:rPr>
        <w:t xml:space="preserve"> de Ministeries</w:t>
      </w:r>
      <w:r w:rsidR="00332D50">
        <w:rPr>
          <w:szCs w:val="18"/>
        </w:rPr>
        <w:t xml:space="preserve"> VWS (coördinerend), V&amp;J en BZ. </w:t>
      </w:r>
    </w:p>
    <w:p w14:paraId="58D4FB61" w14:textId="2411CDF8" w:rsidR="008239DB" w:rsidRDefault="008239DB" w:rsidP="009F76F6">
      <w:pPr>
        <w:pStyle w:val="NormalWeb"/>
        <w:rPr>
          <w:szCs w:val="18"/>
        </w:rPr>
      </w:pPr>
      <w:r>
        <w:rPr>
          <w:szCs w:val="18"/>
        </w:rPr>
        <w:lastRenderedPageBreak/>
        <w:t xml:space="preserve">De afgelopen jaren is de CND voor Nederland een belangrijk forum geweest </w:t>
      </w:r>
      <w:r w:rsidR="00D038F0">
        <w:rPr>
          <w:szCs w:val="18"/>
        </w:rPr>
        <w:t>om meer ruimte te cre</w:t>
      </w:r>
      <w:r w:rsidR="00572658">
        <w:rPr>
          <w:szCs w:val="18"/>
        </w:rPr>
        <w:t>ë</w:t>
      </w:r>
      <w:r w:rsidR="00D038F0">
        <w:rPr>
          <w:szCs w:val="18"/>
        </w:rPr>
        <w:t xml:space="preserve">ren en erkenning te krijgen </w:t>
      </w:r>
      <w:r w:rsidR="0053786C">
        <w:rPr>
          <w:szCs w:val="18"/>
        </w:rPr>
        <w:t xml:space="preserve">voor een meer gebalanceerd (volksgezondheid en handhaving) en humaan drugsbeleid en om het belang van een </w:t>
      </w:r>
      <w:proofErr w:type="spellStart"/>
      <w:r w:rsidR="0053786C">
        <w:rPr>
          <w:i/>
          <w:szCs w:val="18"/>
        </w:rPr>
        <w:t>evidence</w:t>
      </w:r>
      <w:proofErr w:type="spellEnd"/>
      <w:r w:rsidR="0053786C">
        <w:rPr>
          <w:i/>
          <w:szCs w:val="18"/>
        </w:rPr>
        <w:t xml:space="preserve"> </w:t>
      </w:r>
      <w:proofErr w:type="spellStart"/>
      <w:r w:rsidR="0053786C">
        <w:rPr>
          <w:i/>
          <w:szCs w:val="18"/>
        </w:rPr>
        <w:t>based</w:t>
      </w:r>
      <w:proofErr w:type="spellEnd"/>
      <w:r w:rsidR="0053786C">
        <w:rPr>
          <w:i/>
          <w:szCs w:val="18"/>
        </w:rPr>
        <w:t xml:space="preserve"> </w:t>
      </w:r>
      <w:r w:rsidR="0053786C">
        <w:rPr>
          <w:szCs w:val="18"/>
        </w:rPr>
        <w:t>drugsbeleid te benadrukken.</w:t>
      </w:r>
      <w:r w:rsidR="00A33374">
        <w:rPr>
          <w:szCs w:val="18"/>
        </w:rPr>
        <w:t xml:space="preserve"> Ook </w:t>
      </w:r>
      <w:r w:rsidR="00916274">
        <w:rPr>
          <w:szCs w:val="18"/>
        </w:rPr>
        <w:t xml:space="preserve">heeft Nederland via die weg voor elkaar gekregen dat er meer samenwerking is tussen UNODC en de andere VN-instellingen, de WHO in het bijzonder. In de CND heeft ook de voorbereiding van de </w:t>
      </w:r>
      <w:r w:rsidR="00CB063E" w:rsidRPr="00854342">
        <w:rPr>
          <w:i/>
          <w:szCs w:val="18"/>
        </w:rPr>
        <w:t xml:space="preserve">United Nations General Assembly Special </w:t>
      </w:r>
      <w:proofErr w:type="spellStart"/>
      <w:r w:rsidR="00CB063E" w:rsidRPr="00854342">
        <w:rPr>
          <w:i/>
          <w:szCs w:val="18"/>
        </w:rPr>
        <w:t>Session</w:t>
      </w:r>
      <w:proofErr w:type="spellEnd"/>
      <w:r w:rsidR="00CB063E" w:rsidRPr="00854342">
        <w:rPr>
          <w:i/>
          <w:szCs w:val="18"/>
        </w:rPr>
        <w:t xml:space="preserve"> on the World Drug </w:t>
      </w:r>
      <w:proofErr w:type="spellStart"/>
      <w:r w:rsidR="00CB063E" w:rsidRPr="00854342">
        <w:rPr>
          <w:i/>
          <w:szCs w:val="18"/>
        </w:rPr>
        <w:t>Problem</w:t>
      </w:r>
      <w:proofErr w:type="spellEnd"/>
      <w:r w:rsidR="001D59E3">
        <w:rPr>
          <w:szCs w:val="18"/>
        </w:rPr>
        <w:t xml:space="preserve"> (</w:t>
      </w:r>
      <w:r w:rsidR="000A5E48">
        <w:rPr>
          <w:szCs w:val="18"/>
        </w:rPr>
        <w:t xml:space="preserve">UNGASS), </w:t>
      </w:r>
      <w:r w:rsidR="001D59E3">
        <w:rPr>
          <w:szCs w:val="18"/>
        </w:rPr>
        <w:t>april 2016)</w:t>
      </w:r>
      <w:r w:rsidR="00916274">
        <w:rPr>
          <w:szCs w:val="18"/>
        </w:rPr>
        <w:t xml:space="preserve"> plaats gevonden. </w:t>
      </w:r>
      <w:r w:rsidR="001D59E3">
        <w:rPr>
          <w:szCs w:val="18"/>
        </w:rPr>
        <w:t xml:space="preserve">Voor Nederland </w:t>
      </w:r>
      <w:r w:rsidR="000A5E48">
        <w:rPr>
          <w:szCs w:val="18"/>
        </w:rPr>
        <w:t xml:space="preserve">een </w:t>
      </w:r>
      <w:r w:rsidR="001D59E3">
        <w:rPr>
          <w:szCs w:val="18"/>
        </w:rPr>
        <w:t xml:space="preserve">mijlpaal met belangrijke uitkomsten op het gebied van onder andere mensenrechten, </w:t>
      </w:r>
      <w:proofErr w:type="spellStart"/>
      <w:r w:rsidR="00CB063E" w:rsidRPr="00854342">
        <w:rPr>
          <w:i/>
          <w:szCs w:val="18"/>
        </w:rPr>
        <w:t>harm</w:t>
      </w:r>
      <w:proofErr w:type="spellEnd"/>
      <w:r w:rsidR="00CB063E" w:rsidRPr="00854342">
        <w:rPr>
          <w:i/>
          <w:szCs w:val="18"/>
        </w:rPr>
        <w:t xml:space="preserve"> </w:t>
      </w:r>
      <w:proofErr w:type="spellStart"/>
      <w:r w:rsidR="00CB063E" w:rsidRPr="00854342">
        <w:rPr>
          <w:i/>
          <w:szCs w:val="18"/>
        </w:rPr>
        <w:t>reduction</w:t>
      </w:r>
      <w:proofErr w:type="spellEnd"/>
      <w:r w:rsidR="001D59E3">
        <w:rPr>
          <w:szCs w:val="18"/>
        </w:rPr>
        <w:t xml:space="preserve"> en toegang tot </w:t>
      </w:r>
      <w:r w:rsidR="006875B7">
        <w:rPr>
          <w:szCs w:val="18"/>
        </w:rPr>
        <w:t>essentiële</w:t>
      </w:r>
      <w:r w:rsidR="001D59E3">
        <w:rPr>
          <w:szCs w:val="18"/>
        </w:rPr>
        <w:t xml:space="preserve"> geneesmiddelen, om de komende jaren verder op te kunnen voortbouwen. </w:t>
      </w:r>
    </w:p>
    <w:p w14:paraId="74159364" w14:textId="77777777" w:rsidR="006C23DF" w:rsidRDefault="009F76F6" w:rsidP="009F76F6">
      <w:pPr>
        <w:pStyle w:val="NormalWeb"/>
        <w:rPr>
          <w:szCs w:val="18"/>
        </w:rPr>
      </w:pPr>
      <w:r w:rsidRPr="00175E1B">
        <w:rPr>
          <w:szCs w:val="18"/>
        </w:rPr>
        <w:t xml:space="preserve"> </w:t>
      </w:r>
    </w:p>
    <w:p w14:paraId="39058338" w14:textId="7F53FDD6" w:rsidR="006C23DF" w:rsidRDefault="009F76F6" w:rsidP="009F76F6">
      <w:pPr>
        <w:pStyle w:val="NormalWeb"/>
        <w:rPr>
          <w:szCs w:val="18"/>
        </w:rPr>
      </w:pPr>
      <w:r w:rsidRPr="00175E1B">
        <w:rPr>
          <w:szCs w:val="18"/>
        </w:rPr>
        <w:t>Nederland heeft tot nu toe niet de ambitie gehad lid te worden van CCPCJ</w:t>
      </w:r>
      <w:r w:rsidR="00C755DC" w:rsidRPr="00175E1B">
        <w:rPr>
          <w:szCs w:val="18"/>
        </w:rPr>
        <w:t xml:space="preserve">, mogelijk dat dit in de toekomst kan veranderen als CCPJ zich meer op </w:t>
      </w:r>
      <w:r w:rsidR="00425B9B">
        <w:rPr>
          <w:szCs w:val="18"/>
        </w:rPr>
        <w:t xml:space="preserve">bijvoorbeeld </w:t>
      </w:r>
      <w:r w:rsidR="00C755DC" w:rsidRPr="00175E1B">
        <w:rPr>
          <w:szCs w:val="18"/>
        </w:rPr>
        <w:t>terrorisme richt</w:t>
      </w:r>
      <w:r w:rsidRPr="00175E1B">
        <w:rPr>
          <w:szCs w:val="18"/>
        </w:rPr>
        <w:t xml:space="preserve">. </w:t>
      </w:r>
      <w:r w:rsidR="00C755DC" w:rsidRPr="00175E1B">
        <w:rPr>
          <w:szCs w:val="18"/>
        </w:rPr>
        <w:t>Er w</w:t>
      </w:r>
      <w:r w:rsidRPr="00175E1B">
        <w:rPr>
          <w:szCs w:val="18"/>
        </w:rPr>
        <w:t xml:space="preserve">ordt elk jaar actief deelgenomen aan de CCPCJ-zitting door een delegatie bestaande uit PV-Wenen en experts uit Den Haag (van </w:t>
      </w:r>
      <w:r w:rsidR="005574CE">
        <w:rPr>
          <w:szCs w:val="18"/>
        </w:rPr>
        <w:t xml:space="preserve">de Ministeries </w:t>
      </w:r>
      <w:r w:rsidRPr="00175E1B">
        <w:rPr>
          <w:szCs w:val="18"/>
        </w:rPr>
        <w:t>BZ en V&amp;J).</w:t>
      </w:r>
      <w:r w:rsidR="00240EB3">
        <w:rPr>
          <w:szCs w:val="18"/>
        </w:rPr>
        <w:t xml:space="preserve"> Onderwerpen die de afgelopen jaren op de agenda hebben gestaan zijn </w:t>
      </w:r>
      <w:r w:rsidR="00E629BC">
        <w:rPr>
          <w:szCs w:val="18"/>
        </w:rPr>
        <w:t xml:space="preserve">gender-gerelateerd geweld, </w:t>
      </w:r>
      <w:r w:rsidR="00494495">
        <w:rPr>
          <w:szCs w:val="18"/>
        </w:rPr>
        <w:t>minimumeisen</w:t>
      </w:r>
      <w:r w:rsidR="00E629BC">
        <w:rPr>
          <w:szCs w:val="18"/>
        </w:rPr>
        <w:t xml:space="preserve"> aan behandeling van gevangenissen, verbeteren van de </w:t>
      </w:r>
      <w:r w:rsidR="006875B7">
        <w:rPr>
          <w:szCs w:val="18"/>
        </w:rPr>
        <w:t>coördinatie</w:t>
      </w:r>
      <w:r w:rsidR="00E629BC">
        <w:rPr>
          <w:szCs w:val="18"/>
        </w:rPr>
        <w:t xml:space="preserve"> om mensenhandel tegen te gaan </w:t>
      </w:r>
      <w:r w:rsidR="00960ADA">
        <w:rPr>
          <w:szCs w:val="18"/>
        </w:rPr>
        <w:t xml:space="preserve">en cybercrime. </w:t>
      </w:r>
    </w:p>
    <w:p w14:paraId="3291AA70" w14:textId="77777777" w:rsidR="009F76F6" w:rsidRDefault="00240EB3" w:rsidP="009F76F6">
      <w:pPr>
        <w:pStyle w:val="NormalWeb"/>
        <w:rPr>
          <w:rFonts w:ascii="Times New Roman" w:hAnsi="Times New Roman"/>
          <w:sz w:val="24"/>
        </w:rPr>
      </w:pPr>
      <w:r>
        <w:rPr>
          <w:szCs w:val="18"/>
        </w:rPr>
        <w:br/>
      </w:r>
      <w:r w:rsidR="00E002CA">
        <w:rPr>
          <w:szCs w:val="18"/>
        </w:rPr>
        <w:t xml:space="preserve">Nederland is </w:t>
      </w:r>
      <w:r w:rsidR="009F76F6" w:rsidRPr="00175E1B">
        <w:rPr>
          <w:szCs w:val="18"/>
        </w:rPr>
        <w:t>partij bij alle belangrijke verdragen die betrekking hebben op de Weense thema</w:t>
      </w:r>
      <w:r w:rsidR="005425A7">
        <w:rPr>
          <w:szCs w:val="18"/>
        </w:rPr>
        <w:t>’</w:t>
      </w:r>
      <w:r w:rsidR="009F76F6" w:rsidRPr="00175E1B">
        <w:rPr>
          <w:szCs w:val="18"/>
        </w:rPr>
        <w:t xml:space="preserve">s en draait mee in de </w:t>
      </w:r>
      <w:r w:rsidR="00CB063E" w:rsidRPr="00854342">
        <w:rPr>
          <w:i/>
          <w:szCs w:val="18"/>
        </w:rPr>
        <w:t xml:space="preserve">Conferences of the </w:t>
      </w:r>
      <w:proofErr w:type="spellStart"/>
      <w:r w:rsidR="00CB063E" w:rsidRPr="00854342">
        <w:rPr>
          <w:i/>
          <w:szCs w:val="18"/>
        </w:rPr>
        <w:t>Parties</w:t>
      </w:r>
      <w:proofErr w:type="spellEnd"/>
      <w:r w:rsidR="009F76F6" w:rsidRPr="00175E1B">
        <w:rPr>
          <w:szCs w:val="18"/>
        </w:rPr>
        <w:t xml:space="preserve"> van deze verdragen als</w:t>
      </w:r>
      <w:r w:rsidR="005425A7">
        <w:rPr>
          <w:szCs w:val="18"/>
        </w:rPr>
        <w:t xml:space="preserve"> </w:t>
      </w:r>
      <w:r w:rsidR="009F76F6" w:rsidRPr="00175E1B">
        <w:rPr>
          <w:szCs w:val="18"/>
        </w:rPr>
        <w:t>ook in</w:t>
      </w:r>
      <w:r w:rsidR="006C23DF">
        <w:rPr>
          <w:szCs w:val="18"/>
        </w:rPr>
        <w:t xml:space="preserve"> </w:t>
      </w:r>
      <w:r w:rsidR="009F76F6" w:rsidRPr="00175E1B">
        <w:rPr>
          <w:szCs w:val="18"/>
        </w:rPr>
        <w:t>implementatiemechanismen zoals dat van UNCAC</w:t>
      </w:r>
      <w:r w:rsidR="0025557A">
        <w:rPr>
          <w:rFonts w:ascii="Times New Roman" w:hAnsi="Times New Roman"/>
          <w:sz w:val="24"/>
        </w:rPr>
        <w:t xml:space="preserve">. </w:t>
      </w:r>
      <w:r>
        <w:rPr>
          <w:rFonts w:ascii="Times New Roman" w:hAnsi="Times New Roman"/>
          <w:sz w:val="24"/>
        </w:rPr>
        <w:br/>
      </w:r>
    </w:p>
    <w:p w14:paraId="52C27311" w14:textId="28B11FBA" w:rsidR="00D87FF1" w:rsidRDefault="00E002CA" w:rsidP="00240EB3">
      <w:r>
        <w:t xml:space="preserve">Alleen op het gebied van drugs en cybercrime wordt de </w:t>
      </w:r>
      <w:r w:rsidR="00E36F16">
        <w:t xml:space="preserve">Europese inzet in Brussel bepaald. Dit gebeurt </w:t>
      </w:r>
      <w:r w:rsidR="00332D50">
        <w:t xml:space="preserve">via </w:t>
      </w:r>
      <w:r w:rsidR="00D07F90">
        <w:t>de Horizontale Drugs Groep en de Horizontale Cyber Groep. Op andere onderwerpen vindt de EU</w:t>
      </w:r>
      <w:r w:rsidR="00A76831">
        <w:t>-</w:t>
      </w:r>
      <w:r w:rsidR="00D07F90">
        <w:t>afstemming voornamelijk in Wenen pl</w:t>
      </w:r>
      <w:r w:rsidR="000A5E48">
        <w:t xml:space="preserve">aats. Tijdens de CND en CCPCJ vindt </w:t>
      </w:r>
      <w:r w:rsidR="00D07F90">
        <w:t>dagelijkse EU-coördi</w:t>
      </w:r>
      <w:r w:rsidR="00E36F16">
        <w:t>natie</w:t>
      </w:r>
      <w:r w:rsidR="000A5E48">
        <w:t xml:space="preserve"> plaats</w:t>
      </w:r>
      <w:r w:rsidR="00E36F16">
        <w:t xml:space="preserve">, voorgezeten door de </w:t>
      </w:r>
      <w:r w:rsidR="00297DBF">
        <w:t>Europese Dienst voor Extern Optreden (</w:t>
      </w:r>
      <w:r w:rsidR="00E36F16">
        <w:t>EDEO</w:t>
      </w:r>
      <w:r w:rsidR="00297DBF">
        <w:t>)</w:t>
      </w:r>
      <w:r w:rsidR="00E36F16">
        <w:t>, waar</w:t>
      </w:r>
      <w:r w:rsidR="000A5E48">
        <w:t>bij</w:t>
      </w:r>
      <w:r w:rsidR="00E36F16">
        <w:t xml:space="preserve"> de</w:t>
      </w:r>
      <w:r w:rsidR="00D07F90">
        <w:t xml:space="preserve"> EU Voorzitter intervenieert namens de EU. </w:t>
      </w:r>
    </w:p>
    <w:p w14:paraId="2E1AECD3" w14:textId="77777777" w:rsidR="005A1763" w:rsidRDefault="005A1763" w:rsidP="00240EB3"/>
    <w:p w14:paraId="312A8D35" w14:textId="04845DAD" w:rsidR="00D745A7" w:rsidRPr="00175E1B" w:rsidRDefault="0002330E" w:rsidP="00F24A31">
      <w:pPr>
        <w:pStyle w:val="Heading2"/>
        <w:tabs>
          <w:tab w:val="left" w:pos="-1162"/>
          <w:tab w:val="left" w:pos="0"/>
          <w:tab w:val="num" w:pos="1160"/>
        </w:tabs>
        <w:spacing w:line="240" w:lineRule="auto"/>
        <w:ind w:hanging="1162"/>
        <w:rPr>
          <w:szCs w:val="18"/>
        </w:rPr>
      </w:pPr>
      <w:bookmarkStart w:id="41" w:name="_Toc479602604"/>
      <w:bookmarkStart w:id="42" w:name="_Toc491442787"/>
      <w:r>
        <w:t>3</w:t>
      </w:r>
      <w:r w:rsidR="00F24A31">
        <w:t>.4</w:t>
      </w:r>
      <w:r w:rsidR="00F24A31">
        <w:tab/>
      </w:r>
      <w:r w:rsidR="00D745A7" w:rsidRPr="00175E1B">
        <w:rPr>
          <w:szCs w:val="18"/>
        </w:rPr>
        <w:t>Financiële omvang en bijdragen</w:t>
      </w:r>
      <w:bookmarkEnd w:id="41"/>
      <w:bookmarkEnd w:id="42"/>
    </w:p>
    <w:p w14:paraId="471447B0" w14:textId="7F8C5DAE" w:rsidR="00DE1B62" w:rsidRPr="00175E1B" w:rsidRDefault="00DE1B62" w:rsidP="00DE1B62">
      <w:pPr>
        <w:pStyle w:val="NormalWeb"/>
        <w:rPr>
          <w:szCs w:val="18"/>
        </w:rPr>
      </w:pPr>
      <w:r w:rsidRPr="00175E1B">
        <w:rPr>
          <w:szCs w:val="18"/>
        </w:rPr>
        <w:t xml:space="preserve">UNODC werkt met een tweejarige begroting. De begroting 2016-2017 bedraagt </w:t>
      </w:r>
      <w:r w:rsidR="001A4FF5">
        <w:rPr>
          <w:szCs w:val="18"/>
        </w:rPr>
        <w:t>606,3</w:t>
      </w:r>
      <w:r w:rsidR="00425B9B">
        <w:rPr>
          <w:szCs w:val="18"/>
        </w:rPr>
        <w:t xml:space="preserve"> </w:t>
      </w:r>
      <w:r w:rsidRPr="00175E1B">
        <w:rPr>
          <w:szCs w:val="18"/>
        </w:rPr>
        <w:t>miljoen USD</w:t>
      </w:r>
      <w:r w:rsidR="00F96DC1">
        <w:rPr>
          <w:szCs w:val="18"/>
        </w:rPr>
        <w:t>.</w:t>
      </w:r>
      <w:r w:rsidRPr="00175E1B">
        <w:rPr>
          <w:szCs w:val="18"/>
        </w:rPr>
        <w:t xml:space="preserve"> UNODC is sterk afhankelijk van projectfinanciering: 90% van de middelen in genoemde beg</w:t>
      </w:r>
      <w:r w:rsidR="00A7276A">
        <w:rPr>
          <w:szCs w:val="18"/>
        </w:rPr>
        <w:t xml:space="preserve">roting komt uit vrijwillige bijdragen: het </w:t>
      </w:r>
      <w:r w:rsidRPr="00175E1B">
        <w:rPr>
          <w:szCs w:val="18"/>
        </w:rPr>
        <w:t xml:space="preserve">zogenoemde </w:t>
      </w:r>
      <w:r w:rsidR="00CB063E" w:rsidRPr="00854342">
        <w:rPr>
          <w:i/>
          <w:szCs w:val="18"/>
        </w:rPr>
        <w:t xml:space="preserve">special </w:t>
      </w:r>
      <w:proofErr w:type="spellStart"/>
      <w:r w:rsidR="00CB063E" w:rsidRPr="00854342">
        <w:rPr>
          <w:i/>
          <w:szCs w:val="18"/>
        </w:rPr>
        <w:t>purpose</w:t>
      </w:r>
      <w:proofErr w:type="spellEnd"/>
      <w:r w:rsidR="00CB063E" w:rsidRPr="00854342">
        <w:rPr>
          <w:i/>
          <w:szCs w:val="18"/>
        </w:rPr>
        <w:t xml:space="preserve"> fund</w:t>
      </w:r>
      <w:r w:rsidR="00A7276A">
        <w:rPr>
          <w:szCs w:val="18"/>
        </w:rPr>
        <w:t xml:space="preserve"> (</w:t>
      </w:r>
      <w:r w:rsidR="00ED0AAF">
        <w:rPr>
          <w:i/>
          <w:szCs w:val="18"/>
        </w:rPr>
        <w:t>non-</w:t>
      </w:r>
      <w:proofErr w:type="spellStart"/>
      <w:r w:rsidR="00ED0AAF">
        <w:rPr>
          <w:i/>
          <w:szCs w:val="18"/>
        </w:rPr>
        <w:t>core</w:t>
      </w:r>
      <w:proofErr w:type="spellEnd"/>
      <w:r w:rsidR="00A7276A">
        <w:rPr>
          <w:szCs w:val="18"/>
        </w:rPr>
        <w:t xml:space="preserve">) en het </w:t>
      </w:r>
      <w:proofErr w:type="spellStart"/>
      <w:r w:rsidR="00CB063E" w:rsidRPr="00854342">
        <w:rPr>
          <w:i/>
          <w:szCs w:val="18"/>
        </w:rPr>
        <w:t>general</w:t>
      </w:r>
      <w:proofErr w:type="spellEnd"/>
      <w:r w:rsidR="00CB063E" w:rsidRPr="00854342">
        <w:rPr>
          <w:i/>
          <w:szCs w:val="18"/>
        </w:rPr>
        <w:t xml:space="preserve"> </w:t>
      </w:r>
      <w:proofErr w:type="spellStart"/>
      <w:r w:rsidR="00CB063E" w:rsidRPr="00854342">
        <w:rPr>
          <w:i/>
          <w:szCs w:val="18"/>
        </w:rPr>
        <w:t>purpose</w:t>
      </w:r>
      <w:proofErr w:type="spellEnd"/>
      <w:r w:rsidR="00CB063E" w:rsidRPr="00854342">
        <w:rPr>
          <w:i/>
          <w:szCs w:val="18"/>
        </w:rPr>
        <w:t xml:space="preserve"> fund</w:t>
      </w:r>
      <w:r w:rsidR="00A7276A">
        <w:rPr>
          <w:szCs w:val="18"/>
        </w:rPr>
        <w:t xml:space="preserve"> (</w:t>
      </w:r>
      <w:proofErr w:type="spellStart"/>
      <w:r w:rsidR="00ED0AAF">
        <w:rPr>
          <w:i/>
          <w:szCs w:val="18"/>
        </w:rPr>
        <w:t>core</w:t>
      </w:r>
      <w:proofErr w:type="spellEnd"/>
      <w:r w:rsidR="00A7276A">
        <w:rPr>
          <w:szCs w:val="18"/>
        </w:rPr>
        <w:t>). Daarnaast staat op de begroting nog het reguliere budget</w:t>
      </w:r>
      <w:r w:rsidR="00C770BC">
        <w:rPr>
          <w:szCs w:val="18"/>
        </w:rPr>
        <w:t xml:space="preserve"> en de bijdragen uit </w:t>
      </w:r>
      <w:proofErr w:type="spellStart"/>
      <w:r w:rsidR="00C770BC" w:rsidRPr="00494495">
        <w:rPr>
          <w:i/>
          <w:szCs w:val="18"/>
        </w:rPr>
        <w:t>Programme</w:t>
      </w:r>
      <w:proofErr w:type="spellEnd"/>
      <w:r w:rsidR="00C770BC" w:rsidRPr="00494495">
        <w:rPr>
          <w:i/>
          <w:szCs w:val="18"/>
        </w:rPr>
        <w:t xml:space="preserve"> Support </w:t>
      </w:r>
      <w:proofErr w:type="spellStart"/>
      <w:r w:rsidR="00C770BC" w:rsidRPr="00494495">
        <w:rPr>
          <w:i/>
          <w:szCs w:val="18"/>
        </w:rPr>
        <w:t>Costs</w:t>
      </w:r>
      <w:proofErr w:type="spellEnd"/>
      <w:r w:rsidRPr="00175E1B">
        <w:rPr>
          <w:szCs w:val="18"/>
        </w:rPr>
        <w:t>. Behalve door lidstaten worden projecten ook door andere internationale organisaties aan UNODC uitbesteed</w:t>
      </w:r>
      <w:r w:rsidR="00175E1B">
        <w:rPr>
          <w:szCs w:val="18"/>
        </w:rPr>
        <w:t xml:space="preserve"> (zoals door NAVO, </w:t>
      </w:r>
      <w:r w:rsidR="00F96DC1">
        <w:rPr>
          <w:szCs w:val="18"/>
        </w:rPr>
        <w:t>Wereldbank</w:t>
      </w:r>
      <w:r w:rsidR="00175E1B">
        <w:rPr>
          <w:szCs w:val="18"/>
        </w:rPr>
        <w:t xml:space="preserve"> en ILO</w:t>
      </w:r>
      <w:r w:rsidR="00F96DC1">
        <w:rPr>
          <w:szCs w:val="18"/>
        </w:rPr>
        <w:t>.</w:t>
      </w:r>
      <w:r w:rsidR="00AA6DE4">
        <w:rPr>
          <w:szCs w:val="18"/>
        </w:rPr>
        <w:t xml:space="preserve"> Een</w:t>
      </w:r>
      <w:r w:rsidRPr="00175E1B">
        <w:rPr>
          <w:szCs w:val="18"/>
        </w:rPr>
        <w:t xml:space="preserve"> deel van de begroting 201</w:t>
      </w:r>
      <w:r w:rsidR="00CC2A71">
        <w:rPr>
          <w:szCs w:val="18"/>
        </w:rPr>
        <w:t>6-2017</w:t>
      </w:r>
      <w:r w:rsidR="00AA6DE4">
        <w:rPr>
          <w:szCs w:val="18"/>
        </w:rPr>
        <w:t xml:space="preserve"> is </w:t>
      </w:r>
      <w:r w:rsidRPr="00175E1B">
        <w:rPr>
          <w:szCs w:val="18"/>
        </w:rPr>
        <w:t xml:space="preserve">afkomstig uit de algemene VN-begroting </w:t>
      </w:r>
      <w:r w:rsidR="00A76831">
        <w:rPr>
          <w:szCs w:val="18"/>
        </w:rPr>
        <w:t xml:space="preserve">– het </w:t>
      </w:r>
      <w:proofErr w:type="spellStart"/>
      <w:r w:rsidR="00A76831">
        <w:rPr>
          <w:i/>
          <w:szCs w:val="18"/>
        </w:rPr>
        <w:t>regular</w:t>
      </w:r>
      <w:proofErr w:type="spellEnd"/>
      <w:r w:rsidR="00A76831">
        <w:rPr>
          <w:i/>
          <w:szCs w:val="18"/>
        </w:rPr>
        <w:t xml:space="preserve"> budget </w:t>
      </w:r>
      <w:r w:rsidRPr="00175E1B">
        <w:rPr>
          <w:szCs w:val="18"/>
        </w:rPr>
        <w:t>(</w:t>
      </w:r>
      <w:r w:rsidR="00C770BC" w:rsidRPr="001E7F3C">
        <w:rPr>
          <w:szCs w:val="18"/>
        </w:rPr>
        <w:t>6,</w:t>
      </w:r>
      <w:r w:rsidR="001A4FF5" w:rsidRPr="001E7F3C">
        <w:rPr>
          <w:szCs w:val="18"/>
        </w:rPr>
        <w:t>3</w:t>
      </w:r>
      <w:r w:rsidRPr="00425B9B">
        <w:rPr>
          <w:szCs w:val="18"/>
        </w:rPr>
        <w:t>%).</w:t>
      </w:r>
      <w:r w:rsidR="00BB0687" w:rsidRPr="00175E1B">
        <w:rPr>
          <w:szCs w:val="18"/>
        </w:rPr>
        <w:t xml:space="preserve"> </w:t>
      </w:r>
      <w:r w:rsidRPr="00175E1B">
        <w:rPr>
          <w:szCs w:val="18"/>
        </w:rPr>
        <w:t>Het overige deel wordt verkregen via bijdragen op vrijwillige basis door een klein aantal landen</w:t>
      </w:r>
      <w:r w:rsidR="00C770BC">
        <w:rPr>
          <w:szCs w:val="18"/>
        </w:rPr>
        <w:t xml:space="preserve">: </w:t>
      </w:r>
      <w:proofErr w:type="spellStart"/>
      <w:r w:rsidR="00ED0AAF">
        <w:rPr>
          <w:i/>
          <w:szCs w:val="18"/>
        </w:rPr>
        <w:t>core</w:t>
      </w:r>
      <w:proofErr w:type="spellEnd"/>
      <w:r w:rsidR="00C770BC">
        <w:rPr>
          <w:szCs w:val="18"/>
        </w:rPr>
        <w:t xml:space="preserve"> (1,</w:t>
      </w:r>
      <w:r w:rsidR="001A4FF5">
        <w:rPr>
          <w:szCs w:val="18"/>
        </w:rPr>
        <w:t>5</w:t>
      </w:r>
      <w:r w:rsidR="00ED0AAF">
        <w:rPr>
          <w:szCs w:val="18"/>
        </w:rPr>
        <w:t xml:space="preserve">% van de begroting) en </w:t>
      </w:r>
      <w:r w:rsidR="00ED0AAF">
        <w:rPr>
          <w:i/>
          <w:szCs w:val="18"/>
        </w:rPr>
        <w:t>non-</w:t>
      </w:r>
      <w:proofErr w:type="spellStart"/>
      <w:r w:rsidR="00ED0AAF">
        <w:rPr>
          <w:i/>
          <w:szCs w:val="18"/>
        </w:rPr>
        <w:t>core</w:t>
      </w:r>
      <w:proofErr w:type="spellEnd"/>
      <w:r w:rsidR="00A75EFC">
        <w:rPr>
          <w:szCs w:val="18"/>
        </w:rPr>
        <w:t xml:space="preserve"> (</w:t>
      </w:r>
      <w:r w:rsidR="001A4FF5">
        <w:rPr>
          <w:szCs w:val="18"/>
        </w:rPr>
        <w:t>84,7</w:t>
      </w:r>
      <w:r w:rsidR="00A75EFC">
        <w:rPr>
          <w:szCs w:val="18"/>
        </w:rPr>
        <w:t>% van de begroting)</w:t>
      </w:r>
      <w:r w:rsidR="006C23DF">
        <w:rPr>
          <w:szCs w:val="18"/>
        </w:rPr>
        <w:t>.</w:t>
      </w:r>
      <w:r w:rsidR="00A75EFC">
        <w:rPr>
          <w:szCs w:val="18"/>
        </w:rPr>
        <w:t xml:space="preserve"> De overige </w:t>
      </w:r>
      <w:r w:rsidR="001A4FF5">
        <w:rPr>
          <w:szCs w:val="18"/>
        </w:rPr>
        <w:t>7</w:t>
      </w:r>
      <w:r w:rsidR="00A75EFC">
        <w:rPr>
          <w:szCs w:val="18"/>
        </w:rPr>
        <w:t>,</w:t>
      </w:r>
      <w:r w:rsidR="001A4FF5">
        <w:rPr>
          <w:szCs w:val="18"/>
        </w:rPr>
        <w:t>5</w:t>
      </w:r>
      <w:r w:rsidR="00A75EFC">
        <w:rPr>
          <w:szCs w:val="18"/>
        </w:rPr>
        <w:t>%</w:t>
      </w:r>
      <w:r w:rsidRPr="00175E1B">
        <w:rPr>
          <w:szCs w:val="18"/>
        </w:rPr>
        <w:t> </w:t>
      </w:r>
      <w:r w:rsidR="001A4FF5">
        <w:rPr>
          <w:szCs w:val="18"/>
        </w:rPr>
        <w:t xml:space="preserve">van de inkomsten op de begroting 2016-2017 komt uit de </w:t>
      </w:r>
      <w:proofErr w:type="spellStart"/>
      <w:r w:rsidR="00CB063E" w:rsidRPr="00854342">
        <w:rPr>
          <w:i/>
          <w:szCs w:val="18"/>
        </w:rPr>
        <w:t>Programme</w:t>
      </w:r>
      <w:proofErr w:type="spellEnd"/>
      <w:r w:rsidR="00CB063E" w:rsidRPr="00854342">
        <w:rPr>
          <w:i/>
          <w:szCs w:val="18"/>
        </w:rPr>
        <w:t xml:space="preserve"> Support </w:t>
      </w:r>
      <w:proofErr w:type="spellStart"/>
      <w:r w:rsidR="00CB063E" w:rsidRPr="00854342">
        <w:rPr>
          <w:i/>
          <w:szCs w:val="18"/>
        </w:rPr>
        <w:t>Costs</w:t>
      </w:r>
      <w:proofErr w:type="spellEnd"/>
      <w:r w:rsidR="001A4FF5">
        <w:rPr>
          <w:szCs w:val="18"/>
        </w:rPr>
        <w:t xml:space="preserve">. </w:t>
      </w:r>
      <w:r w:rsidRPr="00175E1B">
        <w:rPr>
          <w:szCs w:val="18"/>
        </w:rPr>
        <w:t xml:space="preserve"> </w:t>
      </w:r>
    </w:p>
    <w:p w14:paraId="50DCBBC8" w14:textId="7558EEEA" w:rsidR="005641A3" w:rsidRPr="00175E1B" w:rsidRDefault="005641A3" w:rsidP="005641A3">
      <w:pPr>
        <w:spacing w:before="100" w:beforeAutospacing="1" w:after="100" w:afterAutospacing="1" w:line="240" w:lineRule="auto"/>
        <w:rPr>
          <w:szCs w:val="18"/>
        </w:rPr>
      </w:pPr>
      <w:r>
        <w:rPr>
          <w:szCs w:val="18"/>
        </w:rPr>
        <w:t xml:space="preserve">UNODC werkt niet met </w:t>
      </w:r>
      <w:r w:rsidR="00391377">
        <w:rPr>
          <w:szCs w:val="18"/>
        </w:rPr>
        <w:t xml:space="preserve">verplichte </w:t>
      </w:r>
      <w:r w:rsidR="000A5E48">
        <w:rPr>
          <w:szCs w:val="18"/>
        </w:rPr>
        <w:t>contributies, in tegenstelling tot</w:t>
      </w:r>
      <w:r>
        <w:rPr>
          <w:szCs w:val="18"/>
        </w:rPr>
        <w:t xml:space="preserve"> </w:t>
      </w:r>
      <w:r w:rsidR="00CA2B89">
        <w:rPr>
          <w:szCs w:val="18"/>
        </w:rPr>
        <w:t xml:space="preserve">veel </w:t>
      </w:r>
      <w:r w:rsidR="00E36F16">
        <w:rPr>
          <w:szCs w:val="18"/>
        </w:rPr>
        <w:t>andere VN-organisaties. Als</w:t>
      </w:r>
      <w:r>
        <w:rPr>
          <w:szCs w:val="18"/>
        </w:rPr>
        <w:t xml:space="preserve"> onderdeel van het secretariaat van de VN </w:t>
      </w:r>
      <w:r w:rsidR="00E36F16">
        <w:rPr>
          <w:szCs w:val="18"/>
        </w:rPr>
        <w:t>o</w:t>
      </w:r>
      <w:r>
        <w:rPr>
          <w:szCs w:val="18"/>
        </w:rPr>
        <w:t>ntvangt</w:t>
      </w:r>
      <w:r w:rsidR="00E36F16">
        <w:rPr>
          <w:szCs w:val="18"/>
        </w:rPr>
        <w:t xml:space="preserve"> UNODC</w:t>
      </w:r>
      <w:r>
        <w:rPr>
          <w:szCs w:val="18"/>
        </w:rPr>
        <w:t xml:space="preserve"> een percentage van de gehele begroting van de VN dat wordt vastgesteld in de vijfde co</w:t>
      </w:r>
      <w:r w:rsidR="000A5E48">
        <w:rPr>
          <w:szCs w:val="18"/>
        </w:rPr>
        <w:t>mmissie. Daarnaast ontvangt UNODC</w:t>
      </w:r>
      <w:r w:rsidR="006844A0">
        <w:rPr>
          <w:szCs w:val="18"/>
        </w:rPr>
        <w:t xml:space="preserve"> </w:t>
      </w:r>
      <w:r>
        <w:rPr>
          <w:szCs w:val="18"/>
        </w:rPr>
        <w:t>13</w:t>
      </w:r>
      <w:r w:rsidR="006844A0">
        <w:rPr>
          <w:szCs w:val="18"/>
        </w:rPr>
        <w:t>%</w:t>
      </w:r>
      <w:r>
        <w:rPr>
          <w:szCs w:val="18"/>
        </w:rPr>
        <w:t xml:space="preserve"> toeslag</w:t>
      </w:r>
      <w:r w:rsidR="00CA2B89">
        <w:rPr>
          <w:szCs w:val="18"/>
        </w:rPr>
        <w:t>,</w:t>
      </w:r>
      <w:r w:rsidR="000A5E48">
        <w:rPr>
          <w:szCs w:val="18"/>
        </w:rPr>
        <w:t xml:space="preserve"> zogenaamde</w:t>
      </w:r>
      <w:r w:rsidR="00CA2B89">
        <w:rPr>
          <w:szCs w:val="18"/>
        </w:rPr>
        <w:t xml:space="preserve"> </w:t>
      </w:r>
      <w:proofErr w:type="spellStart"/>
      <w:r w:rsidR="00CB063E" w:rsidRPr="00854342">
        <w:rPr>
          <w:i/>
          <w:szCs w:val="18"/>
        </w:rPr>
        <w:t>Programme</w:t>
      </w:r>
      <w:proofErr w:type="spellEnd"/>
      <w:r w:rsidR="00CB063E" w:rsidRPr="00854342">
        <w:rPr>
          <w:i/>
          <w:szCs w:val="18"/>
        </w:rPr>
        <w:t xml:space="preserve"> Support </w:t>
      </w:r>
      <w:proofErr w:type="spellStart"/>
      <w:r w:rsidR="00CB063E" w:rsidRPr="00854342">
        <w:rPr>
          <w:i/>
          <w:szCs w:val="18"/>
        </w:rPr>
        <w:t>Cost</w:t>
      </w:r>
      <w:proofErr w:type="spellEnd"/>
      <w:r w:rsidR="00CA2B89">
        <w:rPr>
          <w:szCs w:val="18"/>
        </w:rPr>
        <w:t xml:space="preserve">, </w:t>
      </w:r>
      <w:r>
        <w:rPr>
          <w:szCs w:val="18"/>
        </w:rPr>
        <w:t xml:space="preserve">bovenop de </w:t>
      </w:r>
      <w:r w:rsidR="00ED0AAF">
        <w:rPr>
          <w:i/>
          <w:szCs w:val="18"/>
        </w:rPr>
        <w:t>non-</w:t>
      </w:r>
      <w:proofErr w:type="spellStart"/>
      <w:r w:rsidR="00ED0AAF">
        <w:rPr>
          <w:i/>
          <w:szCs w:val="18"/>
        </w:rPr>
        <w:t>core</w:t>
      </w:r>
      <w:proofErr w:type="spellEnd"/>
      <w:r>
        <w:rPr>
          <w:szCs w:val="18"/>
        </w:rPr>
        <w:t xml:space="preserve"> vrijwillige donaties om de vaste kosten van het kantoor in Wenen te kunnen betalen.</w:t>
      </w:r>
      <w:r w:rsidR="000A5E48">
        <w:rPr>
          <w:szCs w:val="18"/>
        </w:rPr>
        <w:t xml:space="preserve"> Het regulie</w:t>
      </w:r>
      <w:r w:rsidR="006C12AE">
        <w:rPr>
          <w:szCs w:val="18"/>
        </w:rPr>
        <w:t>r</w:t>
      </w:r>
      <w:r w:rsidR="000A5E48">
        <w:rPr>
          <w:szCs w:val="18"/>
        </w:rPr>
        <w:t>e</w:t>
      </w:r>
      <w:r w:rsidR="006C12AE">
        <w:rPr>
          <w:szCs w:val="18"/>
        </w:rPr>
        <w:t xml:space="preserve"> budget wordt nadrukkelijk niet gebruikt voor het financieren van overhead van projecten.</w:t>
      </w:r>
      <w:r>
        <w:rPr>
          <w:szCs w:val="18"/>
        </w:rPr>
        <w:t xml:space="preserve"> </w:t>
      </w:r>
    </w:p>
    <w:p w14:paraId="182E8C3E" w14:textId="4D697105" w:rsidR="00DE1B62" w:rsidRDefault="00DE1B62" w:rsidP="007B22D9">
      <w:pPr>
        <w:spacing w:before="100" w:beforeAutospacing="1" w:after="100" w:afterAutospacing="1" w:line="240" w:lineRule="auto"/>
        <w:rPr>
          <w:szCs w:val="18"/>
        </w:rPr>
      </w:pPr>
      <w:r w:rsidRPr="00175E1B">
        <w:rPr>
          <w:szCs w:val="18"/>
        </w:rPr>
        <w:lastRenderedPageBreak/>
        <w:t>Terwijl het projectvolume enorm toeneemt (met 27,8% tussen 2012-2013 en 2014-2015), blijven de vrijwillige</w:t>
      </w:r>
      <w:r w:rsidR="007828B3">
        <w:rPr>
          <w:szCs w:val="18"/>
        </w:rPr>
        <w:t xml:space="preserve"> </w:t>
      </w:r>
      <w:proofErr w:type="spellStart"/>
      <w:r w:rsidR="00ED0AAF">
        <w:rPr>
          <w:i/>
          <w:szCs w:val="18"/>
        </w:rPr>
        <w:t>core</w:t>
      </w:r>
      <w:proofErr w:type="spellEnd"/>
      <w:r w:rsidRPr="00175E1B">
        <w:rPr>
          <w:szCs w:val="18"/>
        </w:rPr>
        <w:t xml:space="preserve"> inkomsten dalen. De bijdrage uit de reguliere VN-begroting is licht stijgend. Gezien deze trend zal UNODC ook in de komende jaren sterk afhankelijk blijven van projectfinanciering.</w:t>
      </w:r>
      <w:r w:rsidR="00CF0171">
        <w:rPr>
          <w:szCs w:val="18"/>
        </w:rPr>
        <w:t xml:space="preserve"> Dit maakt UNODC een erg </w:t>
      </w:r>
      <w:r w:rsidR="00CF0171">
        <w:rPr>
          <w:i/>
          <w:szCs w:val="18"/>
        </w:rPr>
        <w:t xml:space="preserve">donor </w:t>
      </w:r>
      <w:proofErr w:type="spellStart"/>
      <w:r w:rsidR="00CF0171">
        <w:rPr>
          <w:i/>
          <w:szCs w:val="18"/>
        </w:rPr>
        <w:t>driven</w:t>
      </w:r>
      <w:proofErr w:type="spellEnd"/>
      <w:r w:rsidR="00CF0171">
        <w:rPr>
          <w:i/>
          <w:szCs w:val="18"/>
        </w:rPr>
        <w:t xml:space="preserve"> organisatie </w:t>
      </w:r>
      <w:r w:rsidR="00D92130">
        <w:rPr>
          <w:szCs w:val="18"/>
        </w:rPr>
        <w:t>en blijft het een uitdaging om met het reguliere werk, waar weinig budget voor is, het projectwerk bij te houden</w:t>
      </w:r>
      <w:r w:rsidR="006C12AE">
        <w:rPr>
          <w:szCs w:val="18"/>
        </w:rPr>
        <w:t xml:space="preserve"> met betrekking tot allerlei staf- en strategische functies. UNODC </w:t>
      </w:r>
      <w:r w:rsidR="000A5E48">
        <w:rPr>
          <w:szCs w:val="18"/>
        </w:rPr>
        <w:t>probeert</w:t>
      </w:r>
      <w:r w:rsidR="00EC205E">
        <w:rPr>
          <w:szCs w:val="18"/>
        </w:rPr>
        <w:t xml:space="preserve"> met donoren te bewegen om over te gaan tot meer</w:t>
      </w:r>
      <w:r w:rsidR="006C12AE">
        <w:rPr>
          <w:szCs w:val="18"/>
        </w:rPr>
        <w:t xml:space="preserve"> </w:t>
      </w:r>
      <w:r w:rsidR="00CB063E" w:rsidRPr="00854342">
        <w:rPr>
          <w:i/>
          <w:szCs w:val="18"/>
        </w:rPr>
        <w:t>soft-</w:t>
      </w:r>
      <w:proofErr w:type="spellStart"/>
      <w:r w:rsidR="00CB063E" w:rsidRPr="00854342">
        <w:rPr>
          <w:i/>
          <w:szCs w:val="18"/>
        </w:rPr>
        <w:t>earmarked</w:t>
      </w:r>
      <w:proofErr w:type="spellEnd"/>
      <w:r w:rsidR="00CB063E" w:rsidRPr="00854342">
        <w:rPr>
          <w:i/>
          <w:szCs w:val="18"/>
        </w:rPr>
        <w:t xml:space="preserve"> funding</w:t>
      </w:r>
      <w:r w:rsidR="006C12AE">
        <w:rPr>
          <w:szCs w:val="18"/>
        </w:rPr>
        <w:t xml:space="preserve">. Dit zou meer continuïteit van het werk moeten garanderen maar tevens ook de overheadkosten omlaag brengen.  </w:t>
      </w:r>
    </w:p>
    <w:p w14:paraId="5192FBCD" w14:textId="1A375AA5" w:rsidR="007828B3" w:rsidRDefault="007828B3" w:rsidP="007B22D9">
      <w:pPr>
        <w:spacing w:before="100" w:beforeAutospacing="1" w:after="100" w:afterAutospacing="1" w:line="240" w:lineRule="auto"/>
        <w:rPr>
          <w:szCs w:val="18"/>
        </w:rPr>
      </w:pPr>
      <w:r>
        <w:rPr>
          <w:szCs w:val="18"/>
        </w:rPr>
        <w:t>Een belangrijke aderlating in het budget van UNODC voor Nederland is</w:t>
      </w:r>
      <w:r w:rsidR="00354379">
        <w:rPr>
          <w:szCs w:val="18"/>
        </w:rPr>
        <w:t xml:space="preserve"> de</w:t>
      </w:r>
      <w:r>
        <w:rPr>
          <w:szCs w:val="18"/>
        </w:rPr>
        <w:t xml:space="preserve"> korting van UNAIDS op de bijdrage aa</w:t>
      </w:r>
      <w:r w:rsidR="00494495">
        <w:rPr>
          <w:szCs w:val="18"/>
        </w:rPr>
        <w:t>n de hiv/aids</w:t>
      </w:r>
      <w:r w:rsidR="00354379">
        <w:rPr>
          <w:szCs w:val="18"/>
        </w:rPr>
        <w:t xml:space="preserve"> unit met 75</w:t>
      </w:r>
      <w:r w:rsidR="003C2F96">
        <w:rPr>
          <w:szCs w:val="18"/>
        </w:rPr>
        <w:t>%</w:t>
      </w:r>
      <w:r w:rsidR="00354379">
        <w:rPr>
          <w:szCs w:val="18"/>
        </w:rPr>
        <w:t xml:space="preserve"> in de afgelopen 2 jaar.</w:t>
      </w:r>
      <w:r w:rsidR="00653817">
        <w:rPr>
          <w:szCs w:val="18"/>
        </w:rPr>
        <w:t xml:space="preserve"> </w:t>
      </w:r>
      <w:r w:rsidR="00354379">
        <w:rPr>
          <w:szCs w:val="18"/>
        </w:rPr>
        <w:t>D</w:t>
      </w:r>
      <w:r w:rsidR="00653817">
        <w:rPr>
          <w:szCs w:val="18"/>
        </w:rPr>
        <w:t xml:space="preserve">eze korting </w:t>
      </w:r>
      <w:r w:rsidR="00354379">
        <w:rPr>
          <w:szCs w:val="18"/>
        </w:rPr>
        <w:t xml:space="preserve">is in lijn met de korting op de andere </w:t>
      </w:r>
      <w:r w:rsidR="00494495">
        <w:rPr>
          <w:szCs w:val="18"/>
        </w:rPr>
        <w:t>cosponsors</w:t>
      </w:r>
      <w:r w:rsidR="00354379">
        <w:rPr>
          <w:szCs w:val="18"/>
        </w:rPr>
        <w:t xml:space="preserve"> van UNAIDS maar door de zeer beperkte </w:t>
      </w:r>
      <w:proofErr w:type="spellStart"/>
      <w:r w:rsidR="00354379" w:rsidRPr="0023111C">
        <w:rPr>
          <w:i/>
          <w:szCs w:val="18"/>
        </w:rPr>
        <w:t>core</w:t>
      </w:r>
      <w:proofErr w:type="spellEnd"/>
      <w:r w:rsidR="00354379">
        <w:rPr>
          <w:szCs w:val="18"/>
        </w:rPr>
        <w:t xml:space="preserve"> financiën van UNODC kunnen zij dit moeilijk opvangen</w:t>
      </w:r>
      <w:r w:rsidR="00653817">
        <w:rPr>
          <w:szCs w:val="18"/>
        </w:rPr>
        <w:t>.</w:t>
      </w:r>
      <w:r w:rsidR="0023111C">
        <w:rPr>
          <w:szCs w:val="18"/>
        </w:rPr>
        <w:t xml:space="preserve"> </w:t>
      </w:r>
      <w:r w:rsidR="00653817">
        <w:rPr>
          <w:szCs w:val="18"/>
        </w:rPr>
        <w:t xml:space="preserve">Hierdoor is de continuïteit van het werk van </w:t>
      </w:r>
      <w:r w:rsidR="00494495">
        <w:rPr>
          <w:szCs w:val="18"/>
        </w:rPr>
        <w:t>UNODC op aids</w:t>
      </w:r>
      <w:r w:rsidR="00653817">
        <w:rPr>
          <w:szCs w:val="18"/>
        </w:rPr>
        <w:t xml:space="preserve"> gerelateerde activiteiten in gevaar. Nederland vindt dat zorgelijk. </w:t>
      </w:r>
      <w:r w:rsidR="00653817" w:rsidDel="00653817">
        <w:rPr>
          <w:szCs w:val="18"/>
        </w:rPr>
        <w:t xml:space="preserve"> </w:t>
      </w:r>
      <w:r w:rsidR="00354379">
        <w:rPr>
          <w:szCs w:val="18"/>
        </w:rPr>
        <w:t xml:space="preserve"> </w:t>
      </w:r>
    </w:p>
    <w:p w14:paraId="5DA9CA50" w14:textId="27A4184C" w:rsidR="006C23DF" w:rsidRDefault="00DE1B62" w:rsidP="00572658">
      <w:pPr>
        <w:spacing w:before="100" w:beforeAutospacing="1" w:after="100" w:afterAutospacing="1" w:line="240" w:lineRule="auto"/>
        <w:rPr>
          <w:szCs w:val="18"/>
        </w:rPr>
      </w:pPr>
      <w:r w:rsidRPr="00175E1B">
        <w:rPr>
          <w:szCs w:val="18"/>
        </w:rPr>
        <w:t xml:space="preserve">Over het algemeen pleit Nederland voor meer </w:t>
      </w:r>
      <w:proofErr w:type="spellStart"/>
      <w:r w:rsidRPr="00494495">
        <w:rPr>
          <w:i/>
          <w:szCs w:val="18"/>
        </w:rPr>
        <w:t>core-funding</w:t>
      </w:r>
      <w:proofErr w:type="spellEnd"/>
      <w:r w:rsidRPr="00175E1B">
        <w:rPr>
          <w:szCs w:val="18"/>
        </w:rPr>
        <w:t xml:space="preserve"> aan VN-organisaties. In het geval van UNODC hebben we echter te maken met een historisch gegroeide situatie waarin de meeste landen met </w:t>
      </w:r>
      <w:r w:rsidR="00ED0AAF">
        <w:rPr>
          <w:i/>
          <w:szCs w:val="18"/>
        </w:rPr>
        <w:t>non-</w:t>
      </w:r>
      <w:proofErr w:type="spellStart"/>
      <w:r w:rsidR="00ED0AAF">
        <w:rPr>
          <w:i/>
          <w:szCs w:val="18"/>
        </w:rPr>
        <w:t>core</w:t>
      </w:r>
      <w:proofErr w:type="spellEnd"/>
      <w:r w:rsidRPr="00175E1B">
        <w:rPr>
          <w:szCs w:val="18"/>
        </w:rPr>
        <w:t xml:space="preserve"> bijdragen werken. Nederland voegt zich in dit heersende model door geen </w:t>
      </w:r>
      <w:proofErr w:type="spellStart"/>
      <w:r w:rsidRPr="00ED0AAF">
        <w:rPr>
          <w:i/>
          <w:szCs w:val="18"/>
        </w:rPr>
        <w:t>core</w:t>
      </w:r>
      <w:proofErr w:type="spellEnd"/>
      <w:r w:rsidR="00ED0AAF">
        <w:rPr>
          <w:i/>
          <w:szCs w:val="18"/>
        </w:rPr>
        <w:t xml:space="preserve"> </w:t>
      </w:r>
      <w:r w:rsidRPr="00175E1B">
        <w:rPr>
          <w:szCs w:val="18"/>
        </w:rPr>
        <w:t xml:space="preserve">bijdragen te verstrekken maar wel regelmatig projecten uit te besteden aan UNODC. </w:t>
      </w:r>
      <w:r w:rsidR="00AF16D2">
        <w:rPr>
          <w:szCs w:val="18"/>
        </w:rPr>
        <w:t xml:space="preserve">Nederland </w:t>
      </w:r>
      <w:r w:rsidR="00EC205E">
        <w:rPr>
          <w:szCs w:val="18"/>
        </w:rPr>
        <w:t>heeft van 2014 tot en met 201</w:t>
      </w:r>
      <w:r w:rsidR="00854342">
        <w:rPr>
          <w:szCs w:val="18"/>
        </w:rPr>
        <w:t>6</w:t>
      </w:r>
      <w:r w:rsidR="00EC205E">
        <w:rPr>
          <w:szCs w:val="18"/>
        </w:rPr>
        <w:t xml:space="preserve"> alleen </w:t>
      </w:r>
      <w:r w:rsidR="003F5947">
        <w:rPr>
          <w:szCs w:val="18"/>
        </w:rPr>
        <w:t xml:space="preserve">project </w:t>
      </w:r>
      <w:r w:rsidR="00EC205E">
        <w:rPr>
          <w:szCs w:val="18"/>
        </w:rPr>
        <w:t>specifie</w:t>
      </w:r>
      <w:r w:rsidR="003F5947">
        <w:rPr>
          <w:szCs w:val="18"/>
        </w:rPr>
        <w:t>k</w:t>
      </w:r>
      <w:r w:rsidR="00EC205E">
        <w:rPr>
          <w:szCs w:val="18"/>
        </w:rPr>
        <w:t xml:space="preserve">e </w:t>
      </w:r>
      <w:r w:rsidR="00ED0AAF">
        <w:rPr>
          <w:i/>
          <w:szCs w:val="18"/>
        </w:rPr>
        <w:t>non-</w:t>
      </w:r>
      <w:proofErr w:type="spellStart"/>
      <w:r w:rsidR="00ED0AAF">
        <w:rPr>
          <w:i/>
          <w:szCs w:val="18"/>
        </w:rPr>
        <w:t>core</w:t>
      </w:r>
      <w:proofErr w:type="spellEnd"/>
      <w:r w:rsidR="00EC205E">
        <w:rPr>
          <w:szCs w:val="18"/>
        </w:rPr>
        <w:t xml:space="preserve"> bijdragen geleverd, in totaal </w:t>
      </w:r>
      <w:r w:rsidR="00AF16D2">
        <w:rPr>
          <w:szCs w:val="18"/>
        </w:rPr>
        <w:t>21 miljoen Euro.</w:t>
      </w:r>
      <w:r w:rsidR="00BB0687">
        <w:rPr>
          <w:szCs w:val="18"/>
        </w:rPr>
        <w:t xml:space="preserve"> </w:t>
      </w:r>
      <w:r w:rsidR="00AF16D2">
        <w:rPr>
          <w:szCs w:val="18"/>
        </w:rPr>
        <w:t>In 2014 werd het grootste project gefinancierd: een project in Somalië over maritieme criminaliteit</w:t>
      </w:r>
      <w:r w:rsidR="00191E83">
        <w:rPr>
          <w:szCs w:val="18"/>
        </w:rPr>
        <w:t>/piraterij</w:t>
      </w:r>
      <w:r w:rsidR="006C23DF">
        <w:rPr>
          <w:szCs w:val="18"/>
        </w:rPr>
        <w:t xml:space="preserve"> (4,8 miljoen USD)</w:t>
      </w:r>
      <w:r w:rsidR="00AF16D2">
        <w:rPr>
          <w:szCs w:val="18"/>
        </w:rPr>
        <w:t xml:space="preserve">. In 2016 is een bedrag van 1,25 miljoen euro toegezegd voor de periode tot en met 2020 voor een project in de </w:t>
      </w:r>
      <w:proofErr w:type="spellStart"/>
      <w:r w:rsidR="00CB063E" w:rsidRPr="00854342">
        <w:rPr>
          <w:i/>
          <w:szCs w:val="18"/>
        </w:rPr>
        <w:t>Middle</w:t>
      </w:r>
      <w:proofErr w:type="spellEnd"/>
      <w:r w:rsidR="00CB063E" w:rsidRPr="00854342">
        <w:rPr>
          <w:i/>
          <w:szCs w:val="18"/>
        </w:rPr>
        <w:t xml:space="preserve"> East </w:t>
      </w:r>
      <w:proofErr w:type="spellStart"/>
      <w:r w:rsidR="00CB063E" w:rsidRPr="00854342">
        <w:rPr>
          <w:i/>
          <w:szCs w:val="18"/>
        </w:rPr>
        <w:t>and</w:t>
      </w:r>
      <w:proofErr w:type="spellEnd"/>
      <w:r w:rsidR="00CB063E" w:rsidRPr="00854342">
        <w:rPr>
          <w:i/>
          <w:szCs w:val="18"/>
        </w:rPr>
        <w:t xml:space="preserve"> North </w:t>
      </w:r>
      <w:proofErr w:type="spellStart"/>
      <w:r w:rsidR="00CB063E" w:rsidRPr="00854342">
        <w:rPr>
          <w:i/>
          <w:szCs w:val="18"/>
        </w:rPr>
        <w:t>Africa</w:t>
      </w:r>
      <w:proofErr w:type="spellEnd"/>
      <w:r w:rsidR="006B1DC7">
        <w:rPr>
          <w:szCs w:val="18"/>
        </w:rPr>
        <w:t xml:space="preserve"> (</w:t>
      </w:r>
      <w:r w:rsidR="00AF16D2">
        <w:rPr>
          <w:szCs w:val="18"/>
        </w:rPr>
        <w:t>MENA</w:t>
      </w:r>
      <w:r w:rsidR="006B1DC7">
        <w:rPr>
          <w:szCs w:val="18"/>
        </w:rPr>
        <w:t>)</w:t>
      </w:r>
      <w:r w:rsidR="009C5EC3">
        <w:rPr>
          <w:szCs w:val="18"/>
        </w:rPr>
        <w:t>/Azië</w:t>
      </w:r>
      <w:r w:rsidR="00AF16D2">
        <w:rPr>
          <w:szCs w:val="18"/>
        </w:rPr>
        <w:t xml:space="preserve"> </w:t>
      </w:r>
      <w:r w:rsidR="00D92130">
        <w:rPr>
          <w:szCs w:val="18"/>
        </w:rPr>
        <w:t>-</w:t>
      </w:r>
      <w:r w:rsidR="00AF16D2">
        <w:rPr>
          <w:szCs w:val="18"/>
        </w:rPr>
        <w:t xml:space="preserve">regio om radicalisering in gevangenissen </w:t>
      </w:r>
      <w:r w:rsidR="007828B3">
        <w:rPr>
          <w:szCs w:val="18"/>
        </w:rPr>
        <w:t>tegen</w:t>
      </w:r>
      <w:r w:rsidR="00AF16D2">
        <w:rPr>
          <w:szCs w:val="18"/>
        </w:rPr>
        <w:t xml:space="preserve"> te gaan en te bestrijden. </w:t>
      </w:r>
    </w:p>
    <w:p w14:paraId="55ED3B67" w14:textId="40EB6F05" w:rsidR="0086712E" w:rsidRDefault="00E5578A" w:rsidP="005150FC">
      <w:pPr>
        <w:rPr>
          <w:szCs w:val="18"/>
        </w:rPr>
      </w:pPr>
      <w:r>
        <w:rPr>
          <w:szCs w:val="18"/>
        </w:rPr>
        <w:t>In 2014 tot en met 2016</w:t>
      </w:r>
      <w:r w:rsidR="00DE1B62" w:rsidRPr="00175E1B">
        <w:rPr>
          <w:szCs w:val="18"/>
        </w:rPr>
        <w:t xml:space="preserve"> waren</w:t>
      </w:r>
      <w:r w:rsidR="003F5947">
        <w:rPr>
          <w:szCs w:val="18"/>
        </w:rPr>
        <w:t xml:space="preserve"> </w:t>
      </w:r>
      <w:r w:rsidR="00DE1B62" w:rsidRPr="00175E1B">
        <w:rPr>
          <w:szCs w:val="18"/>
        </w:rPr>
        <w:t>de Europese Commissie</w:t>
      </w:r>
      <w:r w:rsidR="003F5947">
        <w:rPr>
          <w:szCs w:val="18"/>
        </w:rPr>
        <w:t>,</w:t>
      </w:r>
      <w:r>
        <w:rPr>
          <w:szCs w:val="18"/>
        </w:rPr>
        <w:t xml:space="preserve"> </w:t>
      </w:r>
      <w:r w:rsidRPr="00175E1B">
        <w:rPr>
          <w:szCs w:val="18"/>
        </w:rPr>
        <w:t>de Verenigde Staten</w:t>
      </w:r>
      <w:r>
        <w:rPr>
          <w:szCs w:val="18"/>
        </w:rPr>
        <w:t xml:space="preserve"> en</w:t>
      </w:r>
      <w:r w:rsidR="00DE1B62" w:rsidRPr="00175E1B">
        <w:rPr>
          <w:szCs w:val="18"/>
        </w:rPr>
        <w:t xml:space="preserve"> Colombia</w:t>
      </w:r>
      <w:r w:rsidR="003F5947" w:rsidRPr="003F5947">
        <w:rPr>
          <w:szCs w:val="18"/>
        </w:rPr>
        <w:t xml:space="preserve"> </w:t>
      </w:r>
      <w:r w:rsidR="003F5947" w:rsidRPr="00175E1B">
        <w:rPr>
          <w:szCs w:val="18"/>
        </w:rPr>
        <w:t>de dri</w:t>
      </w:r>
      <w:r w:rsidR="003F5947">
        <w:rPr>
          <w:szCs w:val="18"/>
        </w:rPr>
        <w:t xml:space="preserve">e grootste donoren. Colombia </w:t>
      </w:r>
      <w:r w:rsidR="00DE1B62" w:rsidRPr="00175E1B">
        <w:rPr>
          <w:szCs w:val="18"/>
        </w:rPr>
        <w:t>stelt echter als eis dat de projecten in eigen land worden uitgevoerd.</w:t>
      </w:r>
      <w:r>
        <w:rPr>
          <w:szCs w:val="18"/>
        </w:rPr>
        <w:t xml:space="preserve"> In 2016 is er een nieuwe grote donor</w:t>
      </w:r>
      <w:r w:rsidR="006B1DC7">
        <w:rPr>
          <w:szCs w:val="18"/>
        </w:rPr>
        <w:t xml:space="preserve"> bij</w:t>
      </w:r>
      <w:r>
        <w:rPr>
          <w:szCs w:val="18"/>
        </w:rPr>
        <w:t xml:space="preserve"> gekomen: Qatar. Dit land doneert voor de periode 2016-2019 een bedrag van 49.1 miljoen euro voor </w:t>
      </w:r>
      <w:r w:rsidR="00ED0AAF">
        <w:rPr>
          <w:i/>
          <w:szCs w:val="18"/>
        </w:rPr>
        <w:t>non-</w:t>
      </w:r>
      <w:proofErr w:type="spellStart"/>
      <w:r w:rsidR="00ED0AAF">
        <w:rPr>
          <w:i/>
          <w:szCs w:val="18"/>
        </w:rPr>
        <w:t>core</w:t>
      </w:r>
      <w:proofErr w:type="spellEnd"/>
      <w:r>
        <w:rPr>
          <w:szCs w:val="18"/>
        </w:rPr>
        <w:t xml:space="preserve"> projecten.</w:t>
      </w:r>
      <w:r w:rsidR="00DE1B62" w:rsidRPr="00175E1B">
        <w:rPr>
          <w:szCs w:val="18"/>
        </w:rPr>
        <w:t xml:space="preserve"> Ned</w:t>
      </w:r>
      <w:r>
        <w:rPr>
          <w:szCs w:val="18"/>
        </w:rPr>
        <w:t>erland was in 2014 de derde grote donor met 12.5 miljoen euro. In 2015 en 2016 is minder gedoneerd: Nederland was toen 11</w:t>
      </w:r>
      <w:r w:rsidRPr="00E5578A">
        <w:rPr>
          <w:szCs w:val="18"/>
          <w:vertAlign w:val="superscript"/>
        </w:rPr>
        <w:t>e</w:t>
      </w:r>
      <w:r>
        <w:rPr>
          <w:szCs w:val="18"/>
        </w:rPr>
        <w:t xml:space="preserve"> met respectievelijk </w:t>
      </w:r>
      <w:r w:rsidR="005D0473">
        <w:rPr>
          <w:szCs w:val="18"/>
        </w:rPr>
        <w:t>4.88</w:t>
      </w:r>
      <w:r>
        <w:rPr>
          <w:szCs w:val="18"/>
        </w:rPr>
        <w:t xml:space="preserve"> miljoen euro en </w:t>
      </w:r>
      <w:r w:rsidR="005D0473">
        <w:rPr>
          <w:szCs w:val="18"/>
        </w:rPr>
        <w:t>4.</w:t>
      </w:r>
      <w:r w:rsidR="009C5EC3">
        <w:rPr>
          <w:szCs w:val="18"/>
        </w:rPr>
        <w:t>58</w:t>
      </w:r>
      <w:r w:rsidR="005D0473">
        <w:rPr>
          <w:szCs w:val="18"/>
        </w:rPr>
        <w:t xml:space="preserve"> miljoen euro </w:t>
      </w:r>
      <w:r w:rsidR="00DE1B62" w:rsidRPr="00175E1B">
        <w:rPr>
          <w:szCs w:val="18"/>
        </w:rPr>
        <w:t>(exclusief de bijdrage aan het anti-piraterij fonds).</w:t>
      </w:r>
      <w:r w:rsidR="00A01CA0">
        <w:rPr>
          <w:szCs w:val="18"/>
        </w:rPr>
        <w:t xml:space="preserve"> </w:t>
      </w:r>
    </w:p>
    <w:p w14:paraId="5FA6E54D" w14:textId="77777777" w:rsidR="006B1DC7" w:rsidRDefault="006B1DC7" w:rsidP="005150FC">
      <w:pPr>
        <w:rPr>
          <w:szCs w:val="18"/>
        </w:rPr>
      </w:pPr>
    </w:p>
    <w:p w14:paraId="5B8DF967" w14:textId="37F0AE99" w:rsidR="005150FC" w:rsidRDefault="00BE458E" w:rsidP="005150FC">
      <w:r w:rsidRPr="00175E1B">
        <w:rPr>
          <w:szCs w:val="18"/>
        </w:rPr>
        <w:t xml:space="preserve">Financieel Overzicht </w:t>
      </w:r>
      <w:r w:rsidR="005150FC" w:rsidRPr="00175E1B">
        <w:rPr>
          <w:szCs w:val="18"/>
        </w:rPr>
        <w:t>(bedragen in USD</w:t>
      </w:r>
      <w:r w:rsidR="005150FC">
        <w:t xml:space="preserve"> miljoen)</w:t>
      </w:r>
    </w:p>
    <w:p w14:paraId="2766F328" w14:textId="77777777" w:rsidR="003C11CF" w:rsidRDefault="003C11CF" w:rsidP="005150FC"/>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204"/>
        <w:gridCol w:w="1136"/>
        <w:gridCol w:w="1332"/>
        <w:gridCol w:w="1714"/>
        <w:gridCol w:w="1139"/>
        <w:gridCol w:w="1281"/>
      </w:tblGrid>
      <w:tr w:rsidR="005150FC" w14:paraId="5BEF351A" w14:textId="77777777" w:rsidTr="003C11CF">
        <w:tc>
          <w:tcPr>
            <w:tcW w:w="790" w:type="pct"/>
            <w:tcBorders>
              <w:top w:val="single" w:sz="12" w:space="0" w:color="auto"/>
              <w:bottom w:val="single" w:sz="6" w:space="0" w:color="auto"/>
            </w:tcBorders>
            <w:shd w:val="clear" w:color="auto" w:fill="D9D9D9" w:themeFill="background1" w:themeFillShade="D9"/>
          </w:tcPr>
          <w:p w14:paraId="696301BC" w14:textId="77777777" w:rsidR="005150FC" w:rsidRDefault="005150FC" w:rsidP="005150FC"/>
        </w:tc>
        <w:tc>
          <w:tcPr>
            <w:tcW w:w="3417" w:type="pct"/>
            <w:gridSpan w:val="4"/>
            <w:tcBorders>
              <w:top w:val="single" w:sz="12" w:space="0" w:color="auto"/>
              <w:bottom w:val="single" w:sz="6" w:space="0" w:color="auto"/>
            </w:tcBorders>
            <w:shd w:val="clear" w:color="auto" w:fill="D9D9D9" w:themeFill="background1" w:themeFillShade="D9"/>
            <w:hideMark/>
          </w:tcPr>
          <w:p w14:paraId="7ADE03C0" w14:textId="77777777" w:rsidR="005150FC" w:rsidRDefault="005150FC" w:rsidP="005150FC">
            <w:pPr>
              <w:jc w:val="center"/>
              <w:rPr>
                <w:b/>
              </w:rPr>
            </w:pPr>
            <w:r>
              <w:rPr>
                <w:b/>
              </w:rPr>
              <w:t>Inkomsten</w:t>
            </w:r>
          </w:p>
        </w:tc>
        <w:tc>
          <w:tcPr>
            <w:tcW w:w="793" w:type="pct"/>
            <w:tcBorders>
              <w:top w:val="single" w:sz="12" w:space="0" w:color="auto"/>
              <w:bottom w:val="single" w:sz="6" w:space="0" w:color="auto"/>
            </w:tcBorders>
            <w:shd w:val="clear" w:color="auto" w:fill="D9D9D9" w:themeFill="background1" w:themeFillShade="D9"/>
            <w:hideMark/>
          </w:tcPr>
          <w:p w14:paraId="5710AA7E" w14:textId="77777777" w:rsidR="005150FC" w:rsidRDefault="005150FC" w:rsidP="005150FC">
            <w:pPr>
              <w:jc w:val="right"/>
              <w:rPr>
                <w:b/>
              </w:rPr>
            </w:pPr>
            <w:r>
              <w:rPr>
                <w:b/>
              </w:rPr>
              <w:t>Uitgaven</w:t>
            </w:r>
          </w:p>
        </w:tc>
      </w:tr>
      <w:tr w:rsidR="005150FC" w:rsidRPr="00E8760E" w14:paraId="3A7C9666" w14:textId="77777777" w:rsidTr="003C11CF">
        <w:tc>
          <w:tcPr>
            <w:tcW w:w="790" w:type="pct"/>
            <w:tcBorders>
              <w:top w:val="single" w:sz="6" w:space="0" w:color="auto"/>
              <w:bottom w:val="nil"/>
            </w:tcBorders>
            <w:shd w:val="clear" w:color="auto" w:fill="D9D9D9" w:themeFill="background1" w:themeFillShade="D9"/>
            <w:hideMark/>
          </w:tcPr>
          <w:p w14:paraId="08BF59B1" w14:textId="77777777" w:rsidR="005150FC" w:rsidRPr="00736DEB" w:rsidRDefault="0059680A" w:rsidP="005150FC">
            <w:pPr>
              <w:rPr>
                <w:i/>
              </w:rPr>
            </w:pPr>
            <w:r w:rsidRPr="00736DEB">
              <w:rPr>
                <w:i/>
              </w:rPr>
              <w:t>Jaar</w:t>
            </w:r>
          </w:p>
        </w:tc>
        <w:tc>
          <w:tcPr>
            <w:tcW w:w="746" w:type="pct"/>
            <w:tcBorders>
              <w:top w:val="single" w:sz="6" w:space="0" w:color="auto"/>
              <w:bottom w:val="nil"/>
            </w:tcBorders>
            <w:shd w:val="clear" w:color="auto" w:fill="D9D9D9" w:themeFill="background1" w:themeFillShade="D9"/>
            <w:hideMark/>
          </w:tcPr>
          <w:p w14:paraId="09547B96" w14:textId="77777777" w:rsidR="005150FC" w:rsidRPr="00736DEB" w:rsidRDefault="005150FC" w:rsidP="005150FC">
            <w:pPr>
              <w:rPr>
                <w:i/>
              </w:rPr>
            </w:pPr>
            <w:r w:rsidRPr="00736DEB">
              <w:rPr>
                <w:i/>
              </w:rPr>
              <w:t>Verplichte</w:t>
            </w:r>
          </w:p>
        </w:tc>
        <w:tc>
          <w:tcPr>
            <w:tcW w:w="1986" w:type="pct"/>
            <w:gridSpan w:val="2"/>
            <w:tcBorders>
              <w:top w:val="single" w:sz="6" w:space="0" w:color="auto"/>
              <w:bottom w:val="single" w:sz="6" w:space="0" w:color="auto"/>
            </w:tcBorders>
            <w:shd w:val="clear" w:color="auto" w:fill="D9D9D9" w:themeFill="background1" w:themeFillShade="D9"/>
            <w:hideMark/>
          </w:tcPr>
          <w:p w14:paraId="4C3B9BA8" w14:textId="77777777" w:rsidR="005150FC" w:rsidRPr="00736DEB" w:rsidRDefault="005150FC" w:rsidP="005150FC">
            <w:pPr>
              <w:jc w:val="center"/>
              <w:rPr>
                <w:i/>
              </w:rPr>
            </w:pPr>
            <w:r w:rsidRPr="00736DEB">
              <w:rPr>
                <w:i/>
              </w:rPr>
              <w:t>Vrijwillige bijdragen</w:t>
            </w:r>
          </w:p>
        </w:tc>
        <w:tc>
          <w:tcPr>
            <w:tcW w:w="684" w:type="pct"/>
            <w:tcBorders>
              <w:top w:val="single" w:sz="6" w:space="0" w:color="auto"/>
              <w:bottom w:val="nil"/>
            </w:tcBorders>
            <w:shd w:val="clear" w:color="auto" w:fill="D9D9D9" w:themeFill="background1" w:themeFillShade="D9"/>
            <w:hideMark/>
          </w:tcPr>
          <w:p w14:paraId="3A0F54A8" w14:textId="77777777" w:rsidR="005150FC" w:rsidRPr="00736DEB" w:rsidRDefault="005150FC" w:rsidP="005150FC">
            <w:pPr>
              <w:jc w:val="right"/>
              <w:rPr>
                <w:i/>
              </w:rPr>
            </w:pPr>
            <w:r w:rsidRPr="00736DEB">
              <w:rPr>
                <w:i/>
              </w:rPr>
              <w:t>Totaal</w:t>
            </w:r>
          </w:p>
        </w:tc>
        <w:tc>
          <w:tcPr>
            <w:tcW w:w="793" w:type="pct"/>
            <w:tcBorders>
              <w:top w:val="single" w:sz="6" w:space="0" w:color="auto"/>
              <w:bottom w:val="nil"/>
            </w:tcBorders>
            <w:shd w:val="clear" w:color="auto" w:fill="D9D9D9" w:themeFill="background1" w:themeFillShade="D9"/>
            <w:hideMark/>
          </w:tcPr>
          <w:p w14:paraId="103220D5" w14:textId="77777777" w:rsidR="005150FC" w:rsidRPr="00736DEB" w:rsidRDefault="005150FC" w:rsidP="005150FC">
            <w:pPr>
              <w:jc w:val="right"/>
              <w:rPr>
                <w:i/>
              </w:rPr>
            </w:pPr>
            <w:r w:rsidRPr="00736DEB">
              <w:rPr>
                <w:i/>
              </w:rPr>
              <w:t>Totaal</w:t>
            </w:r>
          </w:p>
        </w:tc>
      </w:tr>
      <w:tr w:rsidR="003C11CF" w:rsidRPr="00E8760E" w14:paraId="6BB1CF28" w14:textId="77777777" w:rsidTr="003C11CF">
        <w:tc>
          <w:tcPr>
            <w:tcW w:w="790" w:type="pct"/>
            <w:tcBorders>
              <w:top w:val="nil"/>
              <w:bottom w:val="single" w:sz="12" w:space="0" w:color="auto"/>
            </w:tcBorders>
            <w:shd w:val="clear" w:color="auto" w:fill="D9D9D9" w:themeFill="background1" w:themeFillShade="D9"/>
            <w:hideMark/>
          </w:tcPr>
          <w:p w14:paraId="566BFCCE" w14:textId="504AE43A" w:rsidR="005150FC" w:rsidRPr="00736DEB" w:rsidRDefault="003C11CF" w:rsidP="003C11CF">
            <w:pPr>
              <w:tabs>
                <w:tab w:val="left" w:pos="440"/>
              </w:tabs>
              <w:rPr>
                <w:i/>
              </w:rPr>
            </w:pPr>
            <w:r>
              <w:rPr>
                <w:i/>
              </w:rPr>
              <w:tab/>
            </w:r>
          </w:p>
        </w:tc>
        <w:tc>
          <w:tcPr>
            <w:tcW w:w="746" w:type="pct"/>
            <w:tcBorders>
              <w:top w:val="nil"/>
              <w:bottom w:val="single" w:sz="12" w:space="0" w:color="auto"/>
            </w:tcBorders>
            <w:shd w:val="clear" w:color="auto" w:fill="D9D9D9" w:themeFill="background1" w:themeFillShade="D9"/>
            <w:hideMark/>
          </w:tcPr>
          <w:p w14:paraId="450CF147" w14:textId="77777777" w:rsidR="005150FC" w:rsidRPr="00736DEB" w:rsidRDefault="005150FC" w:rsidP="005150FC">
            <w:pPr>
              <w:rPr>
                <w:i/>
              </w:rPr>
            </w:pPr>
            <w:r w:rsidRPr="00736DEB">
              <w:rPr>
                <w:i/>
              </w:rPr>
              <w:t>bijdragen</w:t>
            </w:r>
          </w:p>
        </w:tc>
        <w:tc>
          <w:tcPr>
            <w:tcW w:w="871" w:type="pct"/>
            <w:tcBorders>
              <w:top w:val="single" w:sz="6" w:space="0" w:color="auto"/>
              <w:bottom w:val="single" w:sz="12" w:space="0" w:color="auto"/>
            </w:tcBorders>
            <w:shd w:val="clear" w:color="auto" w:fill="D9D9D9" w:themeFill="background1" w:themeFillShade="D9"/>
            <w:hideMark/>
          </w:tcPr>
          <w:p w14:paraId="26CB90FA" w14:textId="2B1A6B29" w:rsidR="005150FC" w:rsidRPr="00736DEB" w:rsidRDefault="00A6710B" w:rsidP="005150FC">
            <w:pPr>
              <w:rPr>
                <w:i/>
              </w:rPr>
            </w:pPr>
            <w:r>
              <w:rPr>
                <w:i/>
              </w:rPr>
              <w:t>Non-</w:t>
            </w:r>
            <w:proofErr w:type="spellStart"/>
            <w:r>
              <w:rPr>
                <w:i/>
              </w:rPr>
              <w:t>core</w:t>
            </w:r>
            <w:proofErr w:type="spellEnd"/>
          </w:p>
        </w:tc>
        <w:tc>
          <w:tcPr>
            <w:tcW w:w="1116" w:type="pct"/>
            <w:tcBorders>
              <w:top w:val="single" w:sz="6" w:space="0" w:color="auto"/>
              <w:bottom w:val="single" w:sz="12" w:space="0" w:color="auto"/>
            </w:tcBorders>
            <w:shd w:val="clear" w:color="auto" w:fill="D9D9D9" w:themeFill="background1" w:themeFillShade="D9"/>
            <w:hideMark/>
          </w:tcPr>
          <w:p w14:paraId="5E2AD072" w14:textId="0BD08C31" w:rsidR="005150FC" w:rsidRPr="00736DEB" w:rsidRDefault="00A6710B" w:rsidP="005150FC">
            <w:pPr>
              <w:rPr>
                <w:i/>
              </w:rPr>
            </w:pPr>
            <w:proofErr w:type="spellStart"/>
            <w:r>
              <w:rPr>
                <w:i/>
              </w:rPr>
              <w:t>Core</w:t>
            </w:r>
            <w:proofErr w:type="spellEnd"/>
          </w:p>
        </w:tc>
        <w:tc>
          <w:tcPr>
            <w:tcW w:w="684" w:type="pct"/>
            <w:tcBorders>
              <w:top w:val="nil"/>
              <w:bottom w:val="single" w:sz="12" w:space="0" w:color="auto"/>
            </w:tcBorders>
            <w:shd w:val="clear" w:color="auto" w:fill="D9D9D9" w:themeFill="background1" w:themeFillShade="D9"/>
          </w:tcPr>
          <w:p w14:paraId="44DAE812" w14:textId="77777777" w:rsidR="005150FC" w:rsidRPr="00736DEB" w:rsidRDefault="005150FC" w:rsidP="005150FC">
            <w:pPr>
              <w:rPr>
                <w:i/>
              </w:rPr>
            </w:pPr>
          </w:p>
        </w:tc>
        <w:tc>
          <w:tcPr>
            <w:tcW w:w="793" w:type="pct"/>
            <w:tcBorders>
              <w:top w:val="nil"/>
              <w:bottom w:val="single" w:sz="12" w:space="0" w:color="auto"/>
            </w:tcBorders>
            <w:shd w:val="clear" w:color="auto" w:fill="D9D9D9" w:themeFill="background1" w:themeFillShade="D9"/>
          </w:tcPr>
          <w:p w14:paraId="02D05B11" w14:textId="77777777" w:rsidR="005150FC" w:rsidRPr="00736DEB" w:rsidRDefault="005150FC" w:rsidP="005150FC">
            <w:pPr>
              <w:rPr>
                <w:i/>
              </w:rPr>
            </w:pPr>
          </w:p>
        </w:tc>
      </w:tr>
      <w:tr w:rsidR="005150FC" w:rsidRPr="00E8760E" w14:paraId="1E1FFEEA" w14:textId="77777777" w:rsidTr="003C11CF">
        <w:tc>
          <w:tcPr>
            <w:tcW w:w="790" w:type="pct"/>
            <w:tcBorders>
              <w:top w:val="single" w:sz="12" w:space="0" w:color="auto"/>
            </w:tcBorders>
            <w:hideMark/>
          </w:tcPr>
          <w:p w14:paraId="328907DC" w14:textId="77777777" w:rsidR="005150FC" w:rsidRPr="00736DEB" w:rsidRDefault="003A1E73" w:rsidP="005150FC">
            <w:r w:rsidRPr="00736DEB">
              <w:t>201</w:t>
            </w:r>
            <w:r w:rsidR="00D85213" w:rsidRPr="00736DEB">
              <w:t>4</w:t>
            </w:r>
          </w:p>
        </w:tc>
        <w:tc>
          <w:tcPr>
            <w:tcW w:w="746" w:type="pct"/>
            <w:tcBorders>
              <w:top w:val="single" w:sz="12" w:space="0" w:color="auto"/>
            </w:tcBorders>
          </w:tcPr>
          <w:p w14:paraId="56008A2F" w14:textId="77777777" w:rsidR="005150FC" w:rsidRPr="00736DEB" w:rsidRDefault="001F52B3" w:rsidP="001F52B3">
            <w:pPr>
              <w:spacing w:line="240" w:lineRule="auto"/>
              <w:jc w:val="center"/>
            </w:pPr>
            <w:r>
              <w:rPr>
                <w:color w:val="000000"/>
              </w:rPr>
              <w:t xml:space="preserve">        23,3</w:t>
            </w:r>
          </w:p>
        </w:tc>
        <w:tc>
          <w:tcPr>
            <w:tcW w:w="871" w:type="pct"/>
            <w:tcBorders>
              <w:top w:val="single" w:sz="12" w:space="0" w:color="auto"/>
            </w:tcBorders>
          </w:tcPr>
          <w:p w14:paraId="6335A433" w14:textId="77777777" w:rsidR="005150FC" w:rsidRPr="00736DEB" w:rsidRDefault="001F52B3" w:rsidP="001F52B3">
            <w:pPr>
              <w:tabs>
                <w:tab w:val="decimal" w:pos="780"/>
              </w:tabs>
            </w:pPr>
            <w:r>
              <w:t>330,4</w:t>
            </w:r>
          </w:p>
        </w:tc>
        <w:tc>
          <w:tcPr>
            <w:tcW w:w="1116" w:type="pct"/>
            <w:tcBorders>
              <w:top w:val="single" w:sz="12" w:space="0" w:color="auto"/>
            </w:tcBorders>
          </w:tcPr>
          <w:p w14:paraId="52CDF1AC" w14:textId="77777777" w:rsidR="005150FC" w:rsidRPr="00736DEB" w:rsidRDefault="001F52B3" w:rsidP="001F52B3">
            <w:pPr>
              <w:tabs>
                <w:tab w:val="decimal" w:pos="887"/>
              </w:tabs>
              <w:jc w:val="center"/>
            </w:pPr>
            <w:r>
              <w:t>7,9</w:t>
            </w:r>
          </w:p>
        </w:tc>
        <w:tc>
          <w:tcPr>
            <w:tcW w:w="684" w:type="pct"/>
            <w:tcBorders>
              <w:top w:val="single" w:sz="12" w:space="0" w:color="auto"/>
            </w:tcBorders>
          </w:tcPr>
          <w:p w14:paraId="2E25C98F" w14:textId="77777777" w:rsidR="005150FC" w:rsidRPr="00736DEB" w:rsidRDefault="001F52B3" w:rsidP="001F52B3">
            <w:pPr>
              <w:tabs>
                <w:tab w:val="decimal" w:pos="743"/>
              </w:tabs>
              <w:jc w:val="center"/>
            </w:pPr>
            <w:r>
              <w:t>361,6</w:t>
            </w:r>
          </w:p>
        </w:tc>
        <w:tc>
          <w:tcPr>
            <w:tcW w:w="793" w:type="pct"/>
            <w:tcBorders>
              <w:top w:val="single" w:sz="12" w:space="0" w:color="auto"/>
            </w:tcBorders>
          </w:tcPr>
          <w:p w14:paraId="2FA829D4" w14:textId="77777777" w:rsidR="005150FC" w:rsidRPr="00736DEB" w:rsidRDefault="001F52B3" w:rsidP="001F52B3">
            <w:pPr>
              <w:tabs>
                <w:tab w:val="decimal" w:pos="885"/>
              </w:tabs>
              <w:jc w:val="center"/>
            </w:pPr>
            <w:r>
              <w:t>285,9</w:t>
            </w:r>
          </w:p>
        </w:tc>
      </w:tr>
      <w:tr w:rsidR="005150FC" w:rsidRPr="00E8760E" w14:paraId="0D4F53D6" w14:textId="77777777" w:rsidTr="003C11CF">
        <w:tc>
          <w:tcPr>
            <w:tcW w:w="790" w:type="pct"/>
          </w:tcPr>
          <w:p w14:paraId="7D44D8CA" w14:textId="77777777" w:rsidR="005150FC" w:rsidRPr="00736DEB" w:rsidRDefault="00CA22DA" w:rsidP="005150FC">
            <w:r w:rsidRPr="00736DEB">
              <w:t>2015</w:t>
            </w:r>
          </w:p>
        </w:tc>
        <w:tc>
          <w:tcPr>
            <w:tcW w:w="746" w:type="pct"/>
          </w:tcPr>
          <w:p w14:paraId="12927529" w14:textId="77777777" w:rsidR="005150FC" w:rsidRPr="00736DEB" w:rsidRDefault="001F52B3" w:rsidP="001F52B3">
            <w:pPr>
              <w:tabs>
                <w:tab w:val="decimal" w:pos="674"/>
              </w:tabs>
              <w:jc w:val="center"/>
            </w:pPr>
            <w:r>
              <w:t>22,1</w:t>
            </w:r>
          </w:p>
        </w:tc>
        <w:tc>
          <w:tcPr>
            <w:tcW w:w="871" w:type="pct"/>
          </w:tcPr>
          <w:p w14:paraId="0BBCD57D" w14:textId="77777777" w:rsidR="005150FC" w:rsidRPr="00736DEB" w:rsidRDefault="001F52B3" w:rsidP="001F52B3">
            <w:pPr>
              <w:tabs>
                <w:tab w:val="decimal" w:pos="780"/>
              </w:tabs>
            </w:pPr>
            <w:r>
              <w:t>245,2</w:t>
            </w:r>
          </w:p>
        </w:tc>
        <w:tc>
          <w:tcPr>
            <w:tcW w:w="1116" w:type="pct"/>
          </w:tcPr>
          <w:p w14:paraId="6BC57F72" w14:textId="77777777" w:rsidR="005150FC" w:rsidRPr="00736DEB" w:rsidRDefault="001F52B3" w:rsidP="001F52B3">
            <w:pPr>
              <w:tabs>
                <w:tab w:val="decimal" w:pos="887"/>
              </w:tabs>
              <w:jc w:val="center"/>
            </w:pPr>
            <w:r>
              <w:t>4,2</w:t>
            </w:r>
          </w:p>
        </w:tc>
        <w:tc>
          <w:tcPr>
            <w:tcW w:w="684" w:type="pct"/>
          </w:tcPr>
          <w:p w14:paraId="5BBA2178" w14:textId="77777777" w:rsidR="005150FC" w:rsidRPr="00736DEB" w:rsidRDefault="001F52B3" w:rsidP="001F52B3">
            <w:pPr>
              <w:tabs>
                <w:tab w:val="decimal" w:pos="743"/>
              </w:tabs>
              <w:jc w:val="center"/>
            </w:pPr>
            <w:r>
              <w:t>271,5</w:t>
            </w:r>
          </w:p>
        </w:tc>
        <w:tc>
          <w:tcPr>
            <w:tcW w:w="793" w:type="pct"/>
          </w:tcPr>
          <w:p w14:paraId="738BEC2B" w14:textId="77777777" w:rsidR="005150FC" w:rsidRPr="00736DEB" w:rsidRDefault="001F52B3" w:rsidP="001F52B3">
            <w:pPr>
              <w:tabs>
                <w:tab w:val="decimal" w:pos="885"/>
              </w:tabs>
              <w:jc w:val="center"/>
            </w:pPr>
            <w:r>
              <w:t>262,1</w:t>
            </w:r>
          </w:p>
        </w:tc>
      </w:tr>
      <w:tr w:rsidR="005150FC" w:rsidRPr="00E8760E" w14:paraId="749B1C31" w14:textId="77777777" w:rsidTr="003C11CF">
        <w:tc>
          <w:tcPr>
            <w:tcW w:w="790" w:type="pct"/>
          </w:tcPr>
          <w:p w14:paraId="444CFF0F" w14:textId="77777777" w:rsidR="005150FC" w:rsidRPr="00736DEB" w:rsidRDefault="003A1E73" w:rsidP="001F52B3">
            <w:r w:rsidRPr="00736DEB">
              <w:t>201</w:t>
            </w:r>
            <w:r w:rsidR="00D85213" w:rsidRPr="00736DEB">
              <w:t>6</w:t>
            </w:r>
          </w:p>
        </w:tc>
        <w:tc>
          <w:tcPr>
            <w:tcW w:w="746" w:type="pct"/>
          </w:tcPr>
          <w:p w14:paraId="4A813951" w14:textId="77777777" w:rsidR="005150FC" w:rsidRPr="00736DEB" w:rsidRDefault="001F52B3" w:rsidP="005150FC">
            <w:pPr>
              <w:tabs>
                <w:tab w:val="decimal" w:pos="674"/>
              </w:tabs>
            </w:pPr>
            <w:r>
              <w:t>19,5</w:t>
            </w:r>
          </w:p>
        </w:tc>
        <w:tc>
          <w:tcPr>
            <w:tcW w:w="871" w:type="pct"/>
          </w:tcPr>
          <w:p w14:paraId="25408E50" w14:textId="77777777" w:rsidR="005150FC" w:rsidRPr="00736DEB" w:rsidRDefault="001F52B3" w:rsidP="005150FC">
            <w:pPr>
              <w:tabs>
                <w:tab w:val="decimal" w:pos="780"/>
              </w:tabs>
            </w:pPr>
            <w:r>
              <w:t xml:space="preserve">   285,6</w:t>
            </w:r>
          </w:p>
        </w:tc>
        <w:tc>
          <w:tcPr>
            <w:tcW w:w="1116" w:type="pct"/>
          </w:tcPr>
          <w:p w14:paraId="29608908" w14:textId="77777777" w:rsidR="005150FC" w:rsidRPr="00736DEB" w:rsidRDefault="001F52B3" w:rsidP="001F52B3">
            <w:pPr>
              <w:jc w:val="center"/>
            </w:pPr>
            <w:r>
              <w:t xml:space="preserve">            3,7</w:t>
            </w:r>
          </w:p>
        </w:tc>
        <w:tc>
          <w:tcPr>
            <w:tcW w:w="684" w:type="pct"/>
          </w:tcPr>
          <w:p w14:paraId="484E0651" w14:textId="77777777" w:rsidR="005150FC" w:rsidRPr="00736DEB" w:rsidRDefault="001F52B3" w:rsidP="001F52B3">
            <w:r>
              <w:t xml:space="preserve">      308,8</w:t>
            </w:r>
          </w:p>
        </w:tc>
        <w:tc>
          <w:tcPr>
            <w:tcW w:w="793" w:type="pct"/>
          </w:tcPr>
          <w:p w14:paraId="2E94CCF8" w14:textId="77777777" w:rsidR="005150FC" w:rsidRPr="00736DEB" w:rsidRDefault="001F52B3" w:rsidP="005150FC">
            <w:pPr>
              <w:tabs>
                <w:tab w:val="decimal" w:pos="885"/>
              </w:tabs>
            </w:pPr>
            <w:r>
              <w:t>251,4</w:t>
            </w:r>
          </w:p>
        </w:tc>
      </w:tr>
    </w:tbl>
    <w:p w14:paraId="158EA03C" w14:textId="46FE9A7E" w:rsidR="00DA298C" w:rsidRDefault="00DA298C" w:rsidP="00CA22DA"/>
    <w:p w14:paraId="3079A60C" w14:textId="63923100" w:rsidR="00A714CD" w:rsidRDefault="00A714CD" w:rsidP="00CA22DA">
      <w:pPr>
        <w:rPr>
          <w:rFonts w:ascii="Times New Roman" w:hAnsi="Times New Roman"/>
          <w:color w:val="000000"/>
          <w:sz w:val="24"/>
        </w:rPr>
      </w:pPr>
    </w:p>
    <w:p w14:paraId="7A6EC99A" w14:textId="77777777" w:rsidR="00AF20A5" w:rsidRPr="0069317D" w:rsidRDefault="00AF20A5" w:rsidP="00CA22DA"/>
    <w:p w14:paraId="40676881" w14:textId="77777777" w:rsidR="0083788B" w:rsidRDefault="0083788B" w:rsidP="00B95FC2"/>
    <w:p w14:paraId="4D45F82E" w14:textId="77777777" w:rsidR="00AF20A5" w:rsidRDefault="00AF20A5" w:rsidP="005150FC">
      <w:pPr>
        <w:rPr>
          <w:b/>
        </w:rPr>
      </w:pPr>
    </w:p>
    <w:p w14:paraId="53753951" w14:textId="77777777" w:rsidR="00AF20A5" w:rsidRDefault="00AF20A5" w:rsidP="005150FC">
      <w:pPr>
        <w:rPr>
          <w:b/>
        </w:rPr>
      </w:pPr>
    </w:p>
    <w:p w14:paraId="73FC119C" w14:textId="77777777" w:rsidR="00AF20A5" w:rsidRDefault="00AF20A5" w:rsidP="005150FC">
      <w:pPr>
        <w:rPr>
          <w:b/>
        </w:rPr>
      </w:pPr>
    </w:p>
    <w:p w14:paraId="233F41A9" w14:textId="77777777" w:rsidR="00AF20A5" w:rsidRDefault="00AF20A5" w:rsidP="005150FC">
      <w:pPr>
        <w:rPr>
          <w:b/>
        </w:rPr>
      </w:pPr>
    </w:p>
    <w:p w14:paraId="04D8D5D0" w14:textId="77777777" w:rsidR="00AF20A5" w:rsidRDefault="00AF20A5" w:rsidP="005150FC">
      <w:pPr>
        <w:rPr>
          <w:b/>
        </w:rPr>
      </w:pPr>
    </w:p>
    <w:p w14:paraId="4EBDD645" w14:textId="77777777" w:rsidR="00AF20A5" w:rsidRDefault="00AF20A5" w:rsidP="005150FC">
      <w:pPr>
        <w:rPr>
          <w:b/>
        </w:rPr>
      </w:pPr>
    </w:p>
    <w:p w14:paraId="7F6A4DF2" w14:textId="77777777" w:rsidR="00AF20A5" w:rsidRDefault="00AF20A5" w:rsidP="005150FC">
      <w:pPr>
        <w:rPr>
          <w:b/>
        </w:rPr>
      </w:pPr>
    </w:p>
    <w:p w14:paraId="03ACE220" w14:textId="77777777" w:rsidR="00AF20A5" w:rsidRDefault="00AF20A5" w:rsidP="005150FC">
      <w:pPr>
        <w:rPr>
          <w:b/>
        </w:rPr>
      </w:pPr>
    </w:p>
    <w:p w14:paraId="29370773" w14:textId="77777777" w:rsidR="005A1763" w:rsidRDefault="005A1763" w:rsidP="005150FC"/>
    <w:p w14:paraId="0C995FB9" w14:textId="156044AB" w:rsidR="005150FC" w:rsidRPr="00AF20A5" w:rsidRDefault="00447D5E" w:rsidP="005150FC">
      <w:r w:rsidRPr="00AF20A5">
        <w:t>Ov</w:t>
      </w:r>
      <w:r w:rsidR="005150FC" w:rsidRPr="00AF20A5">
        <w:t>erzicht bijdragen en ranking grootste donoren</w:t>
      </w:r>
      <w:r w:rsidR="00AF20A5" w:rsidRPr="00AF20A5">
        <w:t xml:space="preserve"> </w:t>
      </w:r>
      <w:r w:rsidR="005150FC" w:rsidRPr="00AF20A5">
        <w:t>(bedragen</w:t>
      </w:r>
      <w:r w:rsidR="0015548E" w:rsidRPr="00AF20A5">
        <w:t xml:space="preserve"> in US Dollars</w:t>
      </w:r>
      <w:r w:rsidR="005150FC" w:rsidRPr="00AF20A5">
        <w:t>)</w:t>
      </w:r>
      <w:r w:rsidR="00A714CD" w:rsidRPr="00AF20A5">
        <w:t xml:space="preserve"> </w:t>
      </w:r>
    </w:p>
    <w:p w14:paraId="3A063EBC" w14:textId="77777777" w:rsidR="005150FC" w:rsidRDefault="005150FC" w:rsidP="005150FC"/>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754"/>
        <w:gridCol w:w="1928"/>
        <w:gridCol w:w="3129"/>
        <w:gridCol w:w="1995"/>
      </w:tblGrid>
      <w:tr w:rsidR="005150FC" w14:paraId="28D36263" w14:textId="77777777" w:rsidTr="003C11CF">
        <w:tc>
          <w:tcPr>
            <w:tcW w:w="444" w:type="pct"/>
            <w:hideMark/>
          </w:tcPr>
          <w:p w14:paraId="46DFDB47" w14:textId="77777777" w:rsidR="005150FC" w:rsidRPr="00A13499" w:rsidRDefault="005150FC" w:rsidP="005150FC">
            <w:pPr>
              <w:rPr>
                <w:b/>
              </w:rPr>
            </w:pPr>
            <w:r w:rsidRPr="00A13499">
              <w:rPr>
                <w:b/>
              </w:rPr>
              <w:t>Jaar</w:t>
            </w:r>
          </w:p>
        </w:tc>
        <w:tc>
          <w:tcPr>
            <w:tcW w:w="1196" w:type="pct"/>
            <w:hideMark/>
          </w:tcPr>
          <w:p w14:paraId="7C567642" w14:textId="77777777" w:rsidR="005150FC" w:rsidRPr="00A13499" w:rsidRDefault="005150FC" w:rsidP="005150FC">
            <w:pPr>
              <w:rPr>
                <w:b/>
              </w:rPr>
            </w:pPr>
            <w:r w:rsidRPr="00A13499">
              <w:rPr>
                <w:b/>
              </w:rPr>
              <w:t>Bijdrage</w:t>
            </w:r>
          </w:p>
        </w:tc>
        <w:tc>
          <w:tcPr>
            <w:tcW w:w="1965" w:type="pct"/>
            <w:hideMark/>
          </w:tcPr>
          <w:p w14:paraId="6C1D9BED" w14:textId="77777777" w:rsidR="005150FC" w:rsidRPr="00A13499" w:rsidRDefault="005150FC" w:rsidP="005150FC">
            <w:pPr>
              <w:rPr>
                <w:b/>
              </w:rPr>
            </w:pPr>
            <w:r w:rsidRPr="00A13499">
              <w:rPr>
                <w:b/>
              </w:rPr>
              <w:t>Ranking/donor</w:t>
            </w:r>
          </w:p>
        </w:tc>
        <w:tc>
          <w:tcPr>
            <w:tcW w:w="1395" w:type="pct"/>
            <w:hideMark/>
          </w:tcPr>
          <w:p w14:paraId="2048B6B6" w14:textId="77777777" w:rsidR="005150FC" w:rsidRPr="00A13499" w:rsidRDefault="005150FC" w:rsidP="005150FC">
            <w:pPr>
              <w:jc w:val="center"/>
              <w:rPr>
                <w:b/>
              </w:rPr>
            </w:pPr>
            <w:r w:rsidRPr="00A13499">
              <w:rPr>
                <w:b/>
              </w:rPr>
              <w:t>Bedrag</w:t>
            </w:r>
          </w:p>
        </w:tc>
      </w:tr>
      <w:tr w:rsidR="005150FC" w14:paraId="72B1EB55" w14:textId="77777777" w:rsidTr="003C11CF">
        <w:tc>
          <w:tcPr>
            <w:tcW w:w="483" w:type="pct"/>
            <w:shd w:val="clear" w:color="auto" w:fill="D9D9D9"/>
          </w:tcPr>
          <w:p w14:paraId="5353A42B" w14:textId="77777777" w:rsidR="005150FC" w:rsidRDefault="005150FC" w:rsidP="005150FC"/>
        </w:tc>
        <w:tc>
          <w:tcPr>
            <w:tcW w:w="1235" w:type="pct"/>
            <w:shd w:val="clear" w:color="auto" w:fill="D9D9D9"/>
          </w:tcPr>
          <w:p w14:paraId="4EC2A0BC" w14:textId="77777777" w:rsidR="005150FC" w:rsidRDefault="005150FC" w:rsidP="005150FC"/>
        </w:tc>
        <w:tc>
          <w:tcPr>
            <w:tcW w:w="2004" w:type="pct"/>
            <w:shd w:val="clear" w:color="auto" w:fill="D9D9D9"/>
          </w:tcPr>
          <w:p w14:paraId="3F89CB66" w14:textId="77777777" w:rsidR="005150FC" w:rsidRDefault="005150FC" w:rsidP="005150FC"/>
        </w:tc>
        <w:tc>
          <w:tcPr>
            <w:tcW w:w="1278" w:type="pct"/>
            <w:shd w:val="clear" w:color="auto" w:fill="D9D9D9"/>
          </w:tcPr>
          <w:p w14:paraId="2364338B" w14:textId="77777777" w:rsidR="005150FC" w:rsidRDefault="005150FC" w:rsidP="005150FC"/>
        </w:tc>
      </w:tr>
      <w:tr w:rsidR="00A6710B" w14:paraId="09A65B1E" w14:textId="77777777" w:rsidTr="003C11CF">
        <w:tc>
          <w:tcPr>
            <w:tcW w:w="483" w:type="pct"/>
            <w:vMerge w:val="restart"/>
            <w:hideMark/>
          </w:tcPr>
          <w:p w14:paraId="78585533" w14:textId="77777777" w:rsidR="00A6710B" w:rsidRDefault="00A6710B" w:rsidP="00BC7D8C">
            <w:r>
              <w:t>2014</w:t>
            </w:r>
          </w:p>
        </w:tc>
        <w:tc>
          <w:tcPr>
            <w:tcW w:w="1235" w:type="pct"/>
            <w:vMerge w:val="restart"/>
            <w:hideMark/>
          </w:tcPr>
          <w:p w14:paraId="0921436E" w14:textId="77777777" w:rsidR="00A6710B" w:rsidRDefault="00A6710B" w:rsidP="005150FC">
            <w:proofErr w:type="spellStart"/>
            <w:r w:rsidRPr="00A13499">
              <w:rPr>
                <w:i/>
              </w:rPr>
              <w:t>Core</w:t>
            </w:r>
            <w:proofErr w:type="spellEnd"/>
            <w:r>
              <w:t>-bijdrage</w:t>
            </w:r>
          </w:p>
        </w:tc>
        <w:tc>
          <w:tcPr>
            <w:tcW w:w="2004" w:type="pct"/>
            <w:hideMark/>
          </w:tcPr>
          <w:p w14:paraId="3B3D382D" w14:textId="77777777" w:rsidR="00A6710B" w:rsidRDefault="00A6710B" w:rsidP="0086712E">
            <w:r>
              <w:t xml:space="preserve">1. Duitsland </w:t>
            </w:r>
          </w:p>
        </w:tc>
        <w:tc>
          <w:tcPr>
            <w:tcW w:w="1278" w:type="pct"/>
          </w:tcPr>
          <w:p w14:paraId="4B35D9EC" w14:textId="0495459E" w:rsidR="00A6710B" w:rsidRDefault="00A6710B" w:rsidP="00C849EE">
            <w:pPr>
              <w:tabs>
                <w:tab w:val="decimal" w:pos="1026"/>
              </w:tabs>
              <w:jc w:val="right"/>
            </w:pPr>
            <w:r>
              <w:t>1.416.269</w:t>
            </w:r>
          </w:p>
        </w:tc>
      </w:tr>
      <w:tr w:rsidR="00A6710B" w14:paraId="49C156A8" w14:textId="77777777" w:rsidTr="003C11CF">
        <w:tc>
          <w:tcPr>
            <w:tcW w:w="483" w:type="pct"/>
            <w:vMerge/>
          </w:tcPr>
          <w:p w14:paraId="3D37BD9B" w14:textId="77777777" w:rsidR="00A6710B" w:rsidRDefault="00A6710B" w:rsidP="005150FC"/>
        </w:tc>
        <w:tc>
          <w:tcPr>
            <w:tcW w:w="1235" w:type="pct"/>
            <w:vMerge/>
          </w:tcPr>
          <w:p w14:paraId="762CE487" w14:textId="77777777" w:rsidR="00A6710B" w:rsidRDefault="00A6710B" w:rsidP="005150FC"/>
        </w:tc>
        <w:tc>
          <w:tcPr>
            <w:tcW w:w="2004" w:type="pct"/>
            <w:hideMark/>
          </w:tcPr>
          <w:p w14:paraId="7D97A618" w14:textId="77777777" w:rsidR="00A6710B" w:rsidRDefault="00A6710B" w:rsidP="00CA22DA">
            <w:r>
              <w:t>2. Finland</w:t>
            </w:r>
          </w:p>
        </w:tc>
        <w:tc>
          <w:tcPr>
            <w:tcW w:w="1278" w:type="pct"/>
          </w:tcPr>
          <w:p w14:paraId="60761C35" w14:textId="12A4A0DE" w:rsidR="00A6710B" w:rsidRDefault="00A6710B" w:rsidP="00C849EE">
            <w:pPr>
              <w:tabs>
                <w:tab w:val="decimal" w:pos="1026"/>
              </w:tabs>
              <w:jc w:val="right"/>
            </w:pPr>
            <w:r>
              <w:t>1.094.391</w:t>
            </w:r>
          </w:p>
        </w:tc>
      </w:tr>
      <w:tr w:rsidR="00A6710B" w14:paraId="53851772" w14:textId="77777777" w:rsidTr="003C11CF">
        <w:tc>
          <w:tcPr>
            <w:tcW w:w="483" w:type="pct"/>
            <w:vMerge/>
          </w:tcPr>
          <w:p w14:paraId="31951A4B" w14:textId="77777777" w:rsidR="00A6710B" w:rsidRDefault="00A6710B" w:rsidP="005150FC"/>
        </w:tc>
        <w:tc>
          <w:tcPr>
            <w:tcW w:w="1235" w:type="pct"/>
            <w:vMerge/>
          </w:tcPr>
          <w:p w14:paraId="401E7CA6" w14:textId="77777777" w:rsidR="00A6710B" w:rsidRDefault="00A6710B" w:rsidP="005150FC"/>
        </w:tc>
        <w:tc>
          <w:tcPr>
            <w:tcW w:w="2004" w:type="pct"/>
          </w:tcPr>
          <w:p w14:paraId="6CA0B821" w14:textId="0078A42E" w:rsidR="00A6710B" w:rsidRDefault="00A6710B" w:rsidP="00CA22DA">
            <w:r>
              <w:t xml:space="preserve">3. </w:t>
            </w:r>
            <w:r w:rsidR="0087184C">
              <w:t>Rusland</w:t>
            </w:r>
          </w:p>
        </w:tc>
        <w:tc>
          <w:tcPr>
            <w:tcW w:w="1278" w:type="pct"/>
          </w:tcPr>
          <w:p w14:paraId="6CC4C34B" w14:textId="216B0297" w:rsidR="00A6710B" w:rsidRDefault="0087184C" w:rsidP="00C849EE">
            <w:pPr>
              <w:tabs>
                <w:tab w:val="decimal" w:pos="1026"/>
              </w:tabs>
              <w:jc w:val="right"/>
            </w:pPr>
            <w:r>
              <w:t>1.000.000</w:t>
            </w:r>
          </w:p>
        </w:tc>
      </w:tr>
      <w:tr w:rsidR="00A6710B" w14:paraId="5E55332F" w14:textId="77777777" w:rsidTr="003C11CF">
        <w:tc>
          <w:tcPr>
            <w:tcW w:w="483" w:type="pct"/>
            <w:vMerge/>
          </w:tcPr>
          <w:p w14:paraId="1CA634A9" w14:textId="77777777" w:rsidR="00A6710B" w:rsidRDefault="00A6710B" w:rsidP="005150FC"/>
        </w:tc>
        <w:tc>
          <w:tcPr>
            <w:tcW w:w="1235" w:type="pct"/>
            <w:vMerge/>
          </w:tcPr>
          <w:p w14:paraId="7716B2F6" w14:textId="77777777" w:rsidR="00A6710B" w:rsidRDefault="00A6710B" w:rsidP="005150FC"/>
        </w:tc>
        <w:tc>
          <w:tcPr>
            <w:tcW w:w="2004" w:type="pct"/>
            <w:hideMark/>
          </w:tcPr>
          <w:p w14:paraId="121EFDBF" w14:textId="77777777" w:rsidR="00A6710B" w:rsidRPr="00F87433" w:rsidRDefault="00A6710B" w:rsidP="00036F65">
            <w:pPr>
              <w:pStyle w:val="ListParagraph"/>
              <w:numPr>
                <w:ilvl w:val="1"/>
                <w:numId w:val="11"/>
              </w:numPr>
            </w:pPr>
            <w:r w:rsidRPr="00F87433">
              <w:t>Nederland</w:t>
            </w:r>
          </w:p>
        </w:tc>
        <w:tc>
          <w:tcPr>
            <w:tcW w:w="1278" w:type="pct"/>
          </w:tcPr>
          <w:p w14:paraId="7A8BB7F5" w14:textId="47A4BBAA" w:rsidR="00A6710B" w:rsidRPr="00F87433" w:rsidRDefault="00A6710B" w:rsidP="00C849EE">
            <w:pPr>
              <w:tabs>
                <w:tab w:val="decimal" w:pos="1026"/>
              </w:tabs>
              <w:jc w:val="right"/>
            </w:pPr>
            <w:r w:rsidRPr="00F87433">
              <w:t>0*</w:t>
            </w:r>
          </w:p>
        </w:tc>
      </w:tr>
      <w:tr w:rsidR="00A6710B" w14:paraId="018B02AA" w14:textId="77777777" w:rsidTr="003C11CF">
        <w:tc>
          <w:tcPr>
            <w:tcW w:w="483" w:type="pct"/>
            <w:vMerge/>
          </w:tcPr>
          <w:p w14:paraId="34CA476A" w14:textId="77777777" w:rsidR="00A6710B" w:rsidRDefault="00A6710B" w:rsidP="005150FC"/>
        </w:tc>
        <w:tc>
          <w:tcPr>
            <w:tcW w:w="1235" w:type="pct"/>
            <w:vMerge w:val="restart"/>
            <w:hideMark/>
          </w:tcPr>
          <w:p w14:paraId="7C8CE1C0" w14:textId="77777777" w:rsidR="00A6710B" w:rsidRDefault="00A6710B" w:rsidP="005150FC">
            <w:r w:rsidRPr="00A13499">
              <w:rPr>
                <w:i/>
              </w:rPr>
              <w:t>Non-</w:t>
            </w:r>
            <w:proofErr w:type="spellStart"/>
            <w:r w:rsidRPr="00A13499">
              <w:rPr>
                <w:i/>
              </w:rPr>
              <w:t>core</w:t>
            </w:r>
            <w:proofErr w:type="spellEnd"/>
            <w:r>
              <w:t>-bijdragen</w:t>
            </w:r>
          </w:p>
        </w:tc>
        <w:tc>
          <w:tcPr>
            <w:tcW w:w="2004" w:type="pct"/>
            <w:hideMark/>
          </w:tcPr>
          <w:p w14:paraId="543B8E18" w14:textId="45FB2F3B" w:rsidR="00A6710B" w:rsidRDefault="00A6710B" w:rsidP="00036F65">
            <w:r>
              <w:t xml:space="preserve">1. </w:t>
            </w:r>
            <w:r w:rsidR="0087184C">
              <w:t xml:space="preserve"> Colombia</w:t>
            </w:r>
          </w:p>
        </w:tc>
        <w:tc>
          <w:tcPr>
            <w:tcW w:w="1278" w:type="pct"/>
          </w:tcPr>
          <w:p w14:paraId="08915EAE" w14:textId="21A34453" w:rsidR="00A6710B" w:rsidRDefault="0087184C" w:rsidP="00C849EE">
            <w:pPr>
              <w:tabs>
                <w:tab w:val="decimal" w:pos="1026"/>
              </w:tabs>
              <w:jc w:val="right"/>
            </w:pPr>
            <w:r>
              <w:t xml:space="preserve">64.716.404 </w:t>
            </w:r>
          </w:p>
        </w:tc>
      </w:tr>
      <w:tr w:rsidR="00A6710B" w14:paraId="72219F5A" w14:textId="77777777" w:rsidTr="003C11CF">
        <w:tc>
          <w:tcPr>
            <w:tcW w:w="483" w:type="pct"/>
            <w:vMerge/>
          </w:tcPr>
          <w:p w14:paraId="0490D338" w14:textId="77777777" w:rsidR="00A6710B" w:rsidRDefault="00A6710B" w:rsidP="005150FC"/>
        </w:tc>
        <w:tc>
          <w:tcPr>
            <w:tcW w:w="1235" w:type="pct"/>
            <w:vMerge/>
          </w:tcPr>
          <w:p w14:paraId="569C447A" w14:textId="77777777" w:rsidR="00A6710B" w:rsidRDefault="00A6710B" w:rsidP="005150FC"/>
        </w:tc>
        <w:tc>
          <w:tcPr>
            <w:tcW w:w="2004" w:type="pct"/>
            <w:hideMark/>
          </w:tcPr>
          <w:p w14:paraId="18C7B2F0" w14:textId="76592D3A" w:rsidR="00A6710B" w:rsidRDefault="00A6710B" w:rsidP="00036F65">
            <w:r>
              <w:t xml:space="preserve">2. </w:t>
            </w:r>
            <w:r w:rsidR="0087184C">
              <w:t xml:space="preserve"> Europese Unie</w:t>
            </w:r>
          </w:p>
        </w:tc>
        <w:tc>
          <w:tcPr>
            <w:tcW w:w="1278" w:type="pct"/>
          </w:tcPr>
          <w:p w14:paraId="0552672C" w14:textId="71220EF1" w:rsidR="00A6710B" w:rsidRDefault="0087184C" w:rsidP="00C849EE">
            <w:pPr>
              <w:tabs>
                <w:tab w:val="decimal" w:pos="1026"/>
              </w:tabs>
              <w:jc w:val="right"/>
            </w:pPr>
            <w:r>
              <w:t xml:space="preserve">43.998.769 </w:t>
            </w:r>
          </w:p>
        </w:tc>
      </w:tr>
      <w:tr w:rsidR="0087184C" w14:paraId="7301BED8" w14:textId="77777777" w:rsidTr="003C11CF">
        <w:tc>
          <w:tcPr>
            <w:tcW w:w="483" w:type="pct"/>
            <w:vMerge/>
          </w:tcPr>
          <w:p w14:paraId="0604B7B6" w14:textId="77777777" w:rsidR="0087184C" w:rsidRDefault="0087184C" w:rsidP="005150FC"/>
        </w:tc>
        <w:tc>
          <w:tcPr>
            <w:tcW w:w="1235" w:type="pct"/>
            <w:vMerge/>
          </w:tcPr>
          <w:p w14:paraId="7E088500" w14:textId="77777777" w:rsidR="0087184C" w:rsidRDefault="0087184C" w:rsidP="005150FC"/>
        </w:tc>
        <w:tc>
          <w:tcPr>
            <w:tcW w:w="2004" w:type="pct"/>
          </w:tcPr>
          <w:p w14:paraId="27E34092" w14:textId="5796EE90" w:rsidR="0087184C" w:rsidRDefault="0087184C" w:rsidP="00036F65">
            <w:r>
              <w:t>3. USA</w:t>
            </w:r>
          </w:p>
        </w:tc>
        <w:tc>
          <w:tcPr>
            <w:tcW w:w="1278" w:type="pct"/>
          </w:tcPr>
          <w:p w14:paraId="5430E659" w14:textId="607AE72D" w:rsidR="0087184C" w:rsidRDefault="0087184C" w:rsidP="00C849EE">
            <w:pPr>
              <w:tabs>
                <w:tab w:val="decimal" w:pos="1026"/>
              </w:tabs>
              <w:jc w:val="right"/>
            </w:pPr>
            <w:r>
              <w:t xml:space="preserve">41.051.698 </w:t>
            </w:r>
          </w:p>
        </w:tc>
      </w:tr>
      <w:tr w:rsidR="00A6710B" w14:paraId="68C84E8C" w14:textId="77777777" w:rsidTr="003C11CF">
        <w:tc>
          <w:tcPr>
            <w:tcW w:w="483" w:type="pct"/>
            <w:vMerge/>
          </w:tcPr>
          <w:p w14:paraId="10F8DD93" w14:textId="77777777" w:rsidR="00A6710B" w:rsidRDefault="00A6710B" w:rsidP="005150FC"/>
        </w:tc>
        <w:tc>
          <w:tcPr>
            <w:tcW w:w="1235" w:type="pct"/>
            <w:vMerge/>
          </w:tcPr>
          <w:p w14:paraId="11273CDD" w14:textId="77777777" w:rsidR="00A6710B" w:rsidRDefault="00A6710B" w:rsidP="005150FC"/>
        </w:tc>
        <w:tc>
          <w:tcPr>
            <w:tcW w:w="2004" w:type="pct"/>
            <w:hideMark/>
          </w:tcPr>
          <w:p w14:paraId="7249BE72" w14:textId="0CC1C827" w:rsidR="00A6710B" w:rsidRPr="00A6710B" w:rsidRDefault="0087184C" w:rsidP="006B2CCB">
            <w:pPr>
              <w:rPr>
                <w:b/>
              </w:rPr>
            </w:pPr>
            <w:r>
              <w:rPr>
                <w:b/>
              </w:rPr>
              <w:t>4</w:t>
            </w:r>
            <w:r w:rsidR="00A6710B" w:rsidRPr="00A6710B">
              <w:rPr>
                <w:b/>
              </w:rPr>
              <w:t>. Nederland</w:t>
            </w:r>
          </w:p>
        </w:tc>
        <w:tc>
          <w:tcPr>
            <w:tcW w:w="1278" w:type="pct"/>
          </w:tcPr>
          <w:p w14:paraId="190AEA27" w14:textId="31163DE6" w:rsidR="00A6710B" w:rsidRPr="00A6710B" w:rsidRDefault="00A6710B" w:rsidP="00C849EE">
            <w:pPr>
              <w:tabs>
                <w:tab w:val="decimal" w:pos="1026"/>
              </w:tabs>
              <w:jc w:val="right"/>
              <w:rPr>
                <w:b/>
              </w:rPr>
            </w:pPr>
            <w:r w:rsidRPr="00A6710B">
              <w:rPr>
                <w:b/>
              </w:rPr>
              <w:t>12.573.911</w:t>
            </w:r>
          </w:p>
        </w:tc>
      </w:tr>
      <w:tr w:rsidR="00A6710B" w14:paraId="1871DB47" w14:textId="77777777" w:rsidTr="003C11CF">
        <w:tc>
          <w:tcPr>
            <w:tcW w:w="483" w:type="pct"/>
            <w:vMerge/>
          </w:tcPr>
          <w:p w14:paraId="0CF780BC" w14:textId="77777777" w:rsidR="00A6710B" w:rsidRDefault="00A6710B" w:rsidP="005150FC"/>
        </w:tc>
        <w:tc>
          <w:tcPr>
            <w:tcW w:w="1235" w:type="pct"/>
            <w:vMerge w:val="restart"/>
            <w:hideMark/>
          </w:tcPr>
          <w:p w14:paraId="340220C5" w14:textId="77777777" w:rsidR="00A6710B" w:rsidRDefault="00A6710B" w:rsidP="005150FC">
            <w:r>
              <w:t>Totaal bijdrage</w:t>
            </w:r>
          </w:p>
        </w:tc>
        <w:tc>
          <w:tcPr>
            <w:tcW w:w="2004" w:type="pct"/>
            <w:hideMark/>
          </w:tcPr>
          <w:p w14:paraId="5136E8A6" w14:textId="2750B20C" w:rsidR="00A6710B" w:rsidRDefault="00A6710B" w:rsidP="0087184C">
            <w:r>
              <w:t xml:space="preserve">1. </w:t>
            </w:r>
            <w:r w:rsidR="0087184C">
              <w:t xml:space="preserve">Colombia </w:t>
            </w:r>
          </w:p>
        </w:tc>
        <w:tc>
          <w:tcPr>
            <w:tcW w:w="1278" w:type="pct"/>
          </w:tcPr>
          <w:p w14:paraId="3AA6A3F1" w14:textId="6351349A" w:rsidR="00A6710B" w:rsidRDefault="007172A3" w:rsidP="00C849EE">
            <w:pPr>
              <w:tabs>
                <w:tab w:val="decimal" w:pos="1026"/>
              </w:tabs>
              <w:jc w:val="right"/>
            </w:pPr>
            <w:r>
              <w:t>6</w:t>
            </w:r>
            <w:r w:rsidR="0087184C">
              <w:t>4.716.404</w:t>
            </w:r>
          </w:p>
        </w:tc>
      </w:tr>
      <w:tr w:rsidR="00A6710B" w14:paraId="5228E41D" w14:textId="77777777" w:rsidTr="003C11CF">
        <w:tc>
          <w:tcPr>
            <w:tcW w:w="483" w:type="pct"/>
            <w:vMerge/>
          </w:tcPr>
          <w:p w14:paraId="1C1F4AE2" w14:textId="77777777" w:rsidR="00A6710B" w:rsidRDefault="00A6710B" w:rsidP="005150FC"/>
        </w:tc>
        <w:tc>
          <w:tcPr>
            <w:tcW w:w="1235" w:type="pct"/>
            <w:vMerge/>
          </w:tcPr>
          <w:p w14:paraId="6E2350DA" w14:textId="77777777" w:rsidR="00A6710B" w:rsidRDefault="00A6710B" w:rsidP="005150FC"/>
        </w:tc>
        <w:tc>
          <w:tcPr>
            <w:tcW w:w="2004" w:type="pct"/>
            <w:hideMark/>
          </w:tcPr>
          <w:p w14:paraId="7D182C64" w14:textId="36B77CC4" w:rsidR="00A6710B" w:rsidRDefault="00A6710B" w:rsidP="0087184C">
            <w:r>
              <w:t xml:space="preserve">2. </w:t>
            </w:r>
            <w:r w:rsidR="0087184C">
              <w:t xml:space="preserve">Europese Unie </w:t>
            </w:r>
          </w:p>
        </w:tc>
        <w:tc>
          <w:tcPr>
            <w:tcW w:w="1278" w:type="pct"/>
          </w:tcPr>
          <w:p w14:paraId="64D3764F" w14:textId="5801A0C6" w:rsidR="00A6710B" w:rsidRDefault="0087184C" w:rsidP="00C849EE">
            <w:pPr>
              <w:tabs>
                <w:tab w:val="decimal" w:pos="1026"/>
              </w:tabs>
              <w:jc w:val="right"/>
            </w:pPr>
            <w:r>
              <w:t xml:space="preserve">43.998.769 </w:t>
            </w:r>
          </w:p>
        </w:tc>
      </w:tr>
      <w:tr w:rsidR="0087184C" w14:paraId="09640E0B" w14:textId="77777777" w:rsidTr="003C11CF">
        <w:tc>
          <w:tcPr>
            <w:tcW w:w="483" w:type="pct"/>
            <w:vMerge/>
          </w:tcPr>
          <w:p w14:paraId="007548B7" w14:textId="77777777" w:rsidR="0087184C" w:rsidRDefault="0087184C" w:rsidP="005150FC"/>
        </w:tc>
        <w:tc>
          <w:tcPr>
            <w:tcW w:w="1235" w:type="pct"/>
            <w:vMerge/>
          </w:tcPr>
          <w:p w14:paraId="2E735046" w14:textId="77777777" w:rsidR="0087184C" w:rsidRDefault="0087184C" w:rsidP="005150FC"/>
        </w:tc>
        <w:tc>
          <w:tcPr>
            <w:tcW w:w="2004" w:type="pct"/>
          </w:tcPr>
          <w:p w14:paraId="18DB6553" w14:textId="576C10D7" w:rsidR="0087184C" w:rsidRDefault="0087184C" w:rsidP="0087184C">
            <w:r>
              <w:t xml:space="preserve">3. USA </w:t>
            </w:r>
          </w:p>
        </w:tc>
        <w:tc>
          <w:tcPr>
            <w:tcW w:w="1278" w:type="pct"/>
          </w:tcPr>
          <w:p w14:paraId="33CAE29A" w14:textId="0B1E13D4" w:rsidR="0087184C" w:rsidRDefault="0087184C" w:rsidP="00C849EE">
            <w:pPr>
              <w:tabs>
                <w:tab w:val="decimal" w:pos="1026"/>
              </w:tabs>
              <w:jc w:val="right"/>
            </w:pPr>
            <w:r>
              <w:t>41.251.718</w:t>
            </w:r>
          </w:p>
        </w:tc>
      </w:tr>
      <w:tr w:rsidR="00A6710B" w14:paraId="5856E2A0" w14:textId="77777777" w:rsidTr="003C11CF">
        <w:tc>
          <w:tcPr>
            <w:tcW w:w="483" w:type="pct"/>
            <w:vMerge/>
          </w:tcPr>
          <w:p w14:paraId="4A3A83F9" w14:textId="77777777" w:rsidR="00A6710B" w:rsidRDefault="00A6710B" w:rsidP="005150FC"/>
        </w:tc>
        <w:tc>
          <w:tcPr>
            <w:tcW w:w="1235" w:type="pct"/>
            <w:vMerge/>
          </w:tcPr>
          <w:p w14:paraId="53D810DE" w14:textId="77777777" w:rsidR="00A6710B" w:rsidRDefault="00A6710B" w:rsidP="005150FC"/>
        </w:tc>
        <w:tc>
          <w:tcPr>
            <w:tcW w:w="2004" w:type="pct"/>
            <w:hideMark/>
          </w:tcPr>
          <w:p w14:paraId="2C234383" w14:textId="06258FB2" w:rsidR="00A6710B" w:rsidRPr="00A6710B" w:rsidRDefault="0087184C" w:rsidP="005150FC">
            <w:pPr>
              <w:rPr>
                <w:b/>
              </w:rPr>
            </w:pPr>
            <w:r>
              <w:rPr>
                <w:b/>
              </w:rPr>
              <w:t>4</w:t>
            </w:r>
            <w:r w:rsidR="00A6710B" w:rsidRPr="00A6710B">
              <w:rPr>
                <w:b/>
              </w:rPr>
              <w:t>. Nederland</w:t>
            </w:r>
          </w:p>
        </w:tc>
        <w:tc>
          <w:tcPr>
            <w:tcW w:w="1278" w:type="pct"/>
          </w:tcPr>
          <w:p w14:paraId="5BB10B8C" w14:textId="2785A67E" w:rsidR="00A6710B" w:rsidRPr="00A6710B" w:rsidRDefault="00A6710B" w:rsidP="00C849EE">
            <w:pPr>
              <w:tabs>
                <w:tab w:val="decimal" w:pos="1026"/>
              </w:tabs>
              <w:jc w:val="right"/>
              <w:rPr>
                <w:b/>
              </w:rPr>
            </w:pPr>
            <w:r w:rsidRPr="00A6710B">
              <w:rPr>
                <w:b/>
              </w:rPr>
              <w:t>12.573.911</w:t>
            </w:r>
          </w:p>
        </w:tc>
      </w:tr>
      <w:tr w:rsidR="005150FC" w14:paraId="0C2D2DBA" w14:textId="77777777" w:rsidTr="003C11CF">
        <w:tc>
          <w:tcPr>
            <w:tcW w:w="483" w:type="pct"/>
            <w:shd w:val="clear" w:color="auto" w:fill="D9D9D9"/>
          </w:tcPr>
          <w:p w14:paraId="4FC92850" w14:textId="77777777" w:rsidR="005150FC" w:rsidRDefault="005150FC" w:rsidP="005150FC"/>
        </w:tc>
        <w:tc>
          <w:tcPr>
            <w:tcW w:w="1235" w:type="pct"/>
            <w:shd w:val="clear" w:color="auto" w:fill="D9D9D9"/>
          </w:tcPr>
          <w:p w14:paraId="6A377883" w14:textId="77777777" w:rsidR="005150FC" w:rsidRDefault="005150FC" w:rsidP="005150FC"/>
        </w:tc>
        <w:tc>
          <w:tcPr>
            <w:tcW w:w="2004" w:type="pct"/>
            <w:shd w:val="clear" w:color="auto" w:fill="D9D9D9"/>
          </w:tcPr>
          <w:p w14:paraId="7191E3F7" w14:textId="77777777" w:rsidR="005150FC" w:rsidRDefault="005150FC" w:rsidP="005150FC"/>
        </w:tc>
        <w:tc>
          <w:tcPr>
            <w:tcW w:w="1278" w:type="pct"/>
            <w:shd w:val="clear" w:color="auto" w:fill="D9D9D9"/>
          </w:tcPr>
          <w:p w14:paraId="1EBDB40C" w14:textId="77777777" w:rsidR="005150FC" w:rsidRDefault="005150FC" w:rsidP="00C849EE">
            <w:pPr>
              <w:tabs>
                <w:tab w:val="decimal" w:pos="1026"/>
              </w:tabs>
              <w:jc w:val="right"/>
            </w:pPr>
          </w:p>
        </w:tc>
      </w:tr>
      <w:tr w:rsidR="00B64502" w14:paraId="3DE7A3EB" w14:textId="77777777" w:rsidTr="003C11CF">
        <w:tc>
          <w:tcPr>
            <w:tcW w:w="483" w:type="pct"/>
            <w:vMerge w:val="restart"/>
            <w:hideMark/>
          </w:tcPr>
          <w:p w14:paraId="56C6C26A" w14:textId="77777777" w:rsidR="00B64502" w:rsidRDefault="00B64502" w:rsidP="00BC7D8C">
            <w:r>
              <w:t>2015</w:t>
            </w:r>
          </w:p>
        </w:tc>
        <w:tc>
          <w:tcPr>
            <w:tcW w:w="1235" w:type="pct"/>
            <w:vMerge w:val="restart"/>
            <w:hideMark/>
          </w:tcPr>
          <w:p w14:paraId="7A8712A3" w14:textId="7F9CB49B" w:rsidR="00B64502" w:rsidRDefault="00B64502" w:rsidP="005150FC">
            <w:proofErr w:type="spellStart"/>
            <w:r w:rsidRPr="00A13499">
              <w:rPr>
                <w:i/>
              </w:rPr>
              <w:t>Core</w:t>
            </w:r>
            <w:proofErr w:type="spellEnd"/>
            <w:r>
              <w:t>-bijdrage</w:t>
            </w:r>
            <w:r>
              <w:rPr>
                <w:rStyle w:val="FootnoteReference"/>
              </w:rPr>
              <w:footnoteReference w:id="4"/>
            </w:r>
          </w:p>
        </w:tc>
        <w:tc>
          <w:tcPr>
            <w:tcW w:w="2004" w:type="pct"/>
            <w:hideMark/>
          </w:tcPr>
          <w:p w14:paraId="36F86CB8" w14:textId="77777777" w:rsidR="00B64502" w:rsidRDefault="00B64502" w:rsidP="00036F65">
            <w:r>
              <w:t>1. Finland</w:t>
            </w:r>
          </w:p>
        </w:tc>
        <w:tc>
          <w:tcPr>
            <w:tcW w:w="1278" w:type="pct"/>
          </w:tcPr>
          <w:p w14:paraId="31429430" w14:textId="7D8CF14D" w:rsidR="00B64502" w:rsidRDefault="00B64502" w:rsidP="00C849EE">
            <w:pPr>
              <w:tabs>
                <w:tab w:val="decimal" w:pos="1026"/>
              </w:tabs>
              <w:jc w:val="right"/>
            </w:pPr>
            <w:r>
              <w:t>871.460</w:t>
            </w:r>
          </w:p>
        </w:tc>
      </w:tr>
      <w:tr w:rsidR="00B64502" w14:paraId="051587E6" w14:textId="77777777" w:rsidTr="003C11CF">
        <w:tc>
          <w:tcPr>
            <w:tcW w:w="483" w:type="pct"/>
            <w:vMerge/>
          </w:tcPr>
          <w:p w14:paraId="21BC10B9" w14:textId="77777777" w:rsidR="00B64502" w:rsidRDefault="00B64502" w:rsidP="005150FC"/>
        </w:tc>
        <w:tc>
          <w:tcPr>
            <w:tcW w:w="1235" w:type="pct"/>
            <w:vMerge/>
          </w:tcPr>
          <w:p w14:paraId="7059907D" w14:textId="77777777" w:rsidR="00B64502" w:rsidRDefault="00B64502" w:rsidP="005150FC"/>
        </w:tc>
        <w:tc>
          <w:tcPr>
            <w:tcW w:w="2004" w:type="pct"/>
            <w:hideMark/>
          </w:tcPr>
          <w:p w14:paraId="35EAD101" w14:textId="77777777" w:rsidR="00B64502" w:rsidRDefault="00B64502" w:rsidP="005150FC">
            <w:r>
              <w:t>2. USA</w:t>
            </w:r>
          </w:p>
        </w:tc>
        <w:tc>
          <w:tcPr>
            <w:tcW w:w="1278" w:type="pct"/>
          </w:tcPr>
          <w:p w14:paraId="626D8B5F" w14:textId="7B89ED69" w:rsidR="00B64502" w:rsidRDefault="00B64502" w:rsidP="00C849EE">
            <w:pPr>
              <w:tabs>
                <w:tab w:val="decimal" w:pos="1026"/>
              </w:tabs>
              <w:jc w:val="right"/>
            </w:pPr>
            <w:r>
              <w:t>850.000</w:t>
            </w:r>
          </w:p>
        </w:tc>
      </w:tr>
      <w:tr w:rsidR="00B64502" w14:paraId="0C69E1CE" w14:textId="77777777" w:rsidTr="003C11CF">
        <w:tc>
          <w:tcPr>
            <w:tcW w:w="483" w:type="pct"/>
            <w:vMerge/>
          </w:tcPr>
          <w:p w14:paraId="70655597" w14:textId="77777777" w:rsidR="00B64502" w:rsidRDefault="00B64502" w:rsidP="005150FC"/>
        </w:tc>
        <w:tc>
          <w:tcPr>
            <w:tcW w:w="1235" w:type="pct"/>
            <w:vMerge/>
          </w:tcPr>
          <w:p w14:paraId="7A917DA2" w14:textId="77777777" w:rsidR="00B64502" w:rsidRDefault="00B64502" w:rsidP="005150FC"/>
        </w:tc>
        <w:tc>
          <w:tcPr>
            <w:tcW w:w="2004" w:type="pct"/>
          </w:tcPr>
          <w:p w14:paraId="3A8DB2C0" w14:textId="5745A6CC" w:rsidR="00B64502" w:rsidRDefault="00B64502" w:rsidP="005150FC">
            <w:r>
              <w:t>3. Duitsland</w:t>
            </w:r>
          </w:p>
        </w:tc>
        <w:tc>
          <w:tcPr>
            <w:tcW w:w="1278" w:type="pct"/>
          </w:tcPr>
          <w:p w14:paraId="690F562D" w14:textId="332EBCD7" w:rsidR="00B64502" w:rsidRDefault="00B64502" w:rsidP="00C849EE">
            <w:pPr>
              <w:tabs>
                <w:tab w:val="decimal" w:pos="1026"/>
              </w:tabs>
              <w:jc w:val="right"/>
            </w:pPr>
            <w:r>
              <w:t>776.945</w:t>
            </w:r>
          </w:p>
        </w:tc>
      </w:tr>
      <w:tr w:rsidR="00B64502" w14:paraId="09396B2E" w14:textId="77777777" w:rsidTr="003C11CF">
        <w:tc>
          <w:tcPr>
            <w:tcW w:w="483" w:type="pct"/>
            <w:vMerge/>
          </w:tcPr>
          <w:p w14:paraId="199115DB" w14:textId="77777777" w:rsidR="00B64502" w:rsidRDefault="00B64502" w:rsidP="005150FC"/>
        </w:tc>
        <w:tc>
          <w:tcPr>
            <w:tcW w:w="1235" w:type="pct"/>
            <w:vMerge/>
          </w:tcPr>
          <w:p w14:paraId="6E004128" w14:textId="77777777" w:rsidR="00B64502" w:rsidRDefault="00B64502" w:rsidP="005150FC"/>
        </w:tc>
        <w:tc>
          <w:tcPr>
            <w:tcW w:w="2004" w:type="pct"/>
          </w:tcPr>
          <w:p w14:paraId="1AD08A21" w14:textId="44F2893C" w:rsidR="00B64502" w:rsidRDefault="00B64502" w:rsidP="00B64502">
            <w:r>
              <w:t>Nederland</w:t>
            </w:r>
          </w:p>
        </w:tc>
        <w:tc>
          <w:tcPr>
            <w:tcW w:w="1278" w:type="pct"/>
          </w:tcPr>
          <w:p w14:paraId="4D4FCB5C" w14:textId="7214D9AF" w:rsidR="00B64502" w:rsidRDefault="00B64502" w:rsidP="00C849EE">
            <w:pPr>
              <w:tabs>
                <w:tab w:val="decimal" w:pos="1026"/>
              </w:tabs>
              <w:jc w:val="right"/>
            </w:pPr>
            <w:r>
              <w:t>0</w:t>
            </w:r>
          </w:p>
        </w:tc>
      </w:tr>
      <w:tr w:rsidR="00A6710B" w14:paraId="515DB273" w14:textId="77777777" w:rsidTr="003C11CF">
        <w:tc>
          <w:tcPr>
            <w:tcW w:w="483" w:type="pct"/>
            <w:vMerge/>
          </w:tcPr>
          <w:p w14:paraId="68A413E3" w14:textId="77777777" w:rsidR="00A6710B" w:rsidRDefault="00A6710B" w:rsidP="005150FC"/>
        </w:tc>
        <w:tc>
          <w:tcPr>
            <w:tcW w:w="1235" w:type="pct"/>
            <w:vMerge w:val="restart"/>
            <w:hideMark/>
          </w:tcPr>
          <w:p w14:paraId="25DFCA50" w14:textId="77777777" w:rsidR="00A6710B" w:rsidRDefault="00A6710B" w:rsidP="005150FC">
            <w:r w:rsidRPr="00A13499">
              <w:rPr>
                <w:i/>
              </w:rPr>
              <w:t>Non-</w:t>
            </w:r>
            <w:proofErr w:type="spellStart"/>
            <w:r w:rsidRPr="00A13499">
              <w:rPr>
                <w:i/>
              </w:rPr>
              <w:t>core</w:t>
            </w:r>
            <w:proofErr w:type="spellEnd"/>
            <w:r>
              <w:t>-bijdragen</w:t>
            </w:r>
          </w:p>
        </w:tc>
        <w:tc>
          <w:tcPr>
            <w:tcW w:w="2004" w:type="pct"/>
            <w:hideMark/>
          </w:tcPr>
          <w:p w14:paraId="577859CD" w14:textId="77777777" w:rsidR="00A6710B" w:rsidRDefault="00A6710B" w:rsidP="00036F65">
            <w:r>
              <w:t>1. Europese Unie</w:t>
            </w:r>
          </w:p>
        </w:tc>
        <w:tc>
          <w:tcPr>
            <w:tcW w:w="1278" w:type="pct"/>
          </w:tcPr>
          <w:p w14:paraId="2862D3D8" w14:textId="428D173C" w:rsidR="00A6710B" w:rsidRDefault="00A6710B" w:rsidP="00C849EE">
            <w:pPr>
              <w:tabs>
                <w:tab w:val="decimal" w:pos="1026"/>
              </w:tabs>
              <w:jc w:val="right"/>
            </w:pPr>
            <w:r>
              <w:t>49.652.036</w:t>
            </w:r>
          </w:p>
        </w:tc>
      </w:tr>
      <w:tr w:rsidR="00A6710B" w14:paraId="656BB7C7" w14:textId="77777777" w:rsidTr="003C11CF">
        <w:tc>
          <w:tcPr>
            <w:tcW w:w="483" w:type="pct"/>
            <w:vMerge/>
          </w:tcPr>
          <w:p w14:paraId="46A6F68F" w14:textId="77777777" w:rsidR="00A6710B" w:rsidRDefault="00A6710B" w:rsidP="005150FC"/>
        </w:tc>
        <w:tc>
          <w:tcPr>
            <w:tcW w:w="1235" w:type="pct"/>
            <w:vMerge/>
          </w:tcPr>
          <w:p w14:paraId="7F74B55B" w14:textId="77777777" w:rsidR="00A6710B" w:rsidRDefault="00A6710B" w:rsidP="005150FC"/>
        </w:tc>
        <w:tc>
          <w:tcPr>
            <w:tcW w:w="2004" w:type="pct"/>
            <w:hideMark/>
          </w:tcPr>
          <w:p w14:paraId="6F6817C8" w14:textId="77777777" w:rsidR="00A6710B" w:rsidRDefault="00A6710B" w:rsidP="005150FC">
            <w:r>
              <w:t>2. USA</w:t>
            </w:r>
          </w:p>
        </w:tc>
        <w:tc>
          <w:tcPr>
            <w:tcW w:w="1278" w:type="pct"/>
          </w:tcPr>
          <w:p w14:paraId="303A7C0D" w14:textId="597C3420" w:rsidR="00A6710B" w:rsidRDefault="00A6710B" w:rsidP="00C849EE">
            <w:pPr>
              <w:tabs>
                <w:tab w:val="decimal" w:pos="1026"/>
              </w:tabs>
              <w:jc w:val="right"/>
            </w:pPr>
            <w:r>
              <w:t>36.694.919</w:t>
            </w:r>
          </w:p>
        </w:tc>
      </w:tr>
      <w:tr w:rsidR="00A6710B" w14:paraId="70BBAEAB" w14:textId="77777777" w:rsidTr="003C11CF">
        <w:tc>
          <w:tcPr>
            <w:tcW w:w="483" w:type="pct"/>
            <w:vMerge/>
          </w:tcPr>
          <w:p w14:paraId="0605FFDB" w14:textId="77777777" w:rsidR="00A6710B" w:rsidRDefault="00A6710B" w:rsidP="005150FC"/>
        </w:tc>
        <w:tc>
          <w:tcPr>
            <w:tcW w:w="1235" w:type="pct"/>
            <w:vMerge/>
          </w:tcPr>
          <w:p w14:paraId="2F353AD8" w14:textId="77777777" w:rsidR="00A6710B" w:rsidRDefault="00A6710B" w:rsidP="005150FC"/>
        </w:tc>
        <w:tc>
          <w:tcPr>
            <w:tcW w:w="2004" w:type="pct"/>
          </w:tcPr>
          <w:p w14:paraId="281F327B" w14:textId="3D347D84" w:rsidR="00A6710B" w:rsidRDefault="00A6710B" w:rsidP="005150FC">
            <w:r>
              <w:t xml:space="preserve">3. </w:t>
            </w:r>
            <w:r w:rsidR="00BD558D">
              <w:t>Colombia</w:t>
            </w:r>
          </w:p>
        </w:tc>
        <w:tc>
          <w:tcPr>
            <w:tcW w:w="1278" w:type="pct"/>
          </w:tcPr>
          <w:p w14:paraId="4FE0737F" w14:textId="0E9EAE90" w:rsidR="00A6710B" w:rsidRDefault="00BD558D" w:rsidP="00C849EE">
            <w:pPr>
              <w:tabs>
                <w:tab w:val="decimal" w:pos="1026"/>
              </w:tabs>
              <w:jc w:val="right"/>
            </w:pPr>
            <w:r>
              <w:t>31.796.302</w:t>
            </w:r>
          </w:p>
        </w:tc>
      </w:tr>
      <w:tr w:rsidR="00A6710B" w14:paraId="27E71B61" w14:textId="77777777" w:rsidTr="003C11CF">
        <w:tc>
          <w:tcPr>
            <w:tcW w:w="483" w:type="pct"/>
            <w:vMerge/>
          </w:tcPr>
          <w:p w14:paraId="30B8C259" w14:textId="77777777" w:rsidR="00A6710B" w:rsidRDefault="00A6710B" w:rsidP="005150FC"/>
        </w:tc>
        <w:tc>
          <w:tcPr>
            <w:tcW w:w="1235" w:type="pct"/>
            <w:vMerge/>
          </w:tcPr>
          <w:p w14:paraId="2A7900F7" w14:textId="77777777" w:rsidR="00A6710B" w:rsidRDefault="00A6710B" w:rsidP="005150FC"/>
        </w:tc>
        <w:tc>
          <w:tcPr>
            <w:tcW w:w="2004" w:type="pct"/>
            <w:hideMark/>
          </w:tcPr>
          <w:p w14:paraId="3D16A763" w14:textId="77777777" w:rsidR="00A6710B" w:rsidRPr="00A6710B" w:rsidRDefault="00A6710B" w:rsidP="00A825AE">
            <w:pPr>
              <w:rPr>
                <w:b/>
              </w:rPr>
            </w:pPr>
            <w:r w:rsidRPr="00A6710B">
              <w:rPr>
                <w:b/>
              </w:rPr>
              <w:t>11. Nederland</w:t>
            </w:r>
          </w:p>
        </w:tc>
        <w:tc>
          <w:tcPr>
            <w:tcW w:w="1278" w:type="pct"/>
          </w:tcPr>
          <w:p w14:paraId="79253971" w14:textId="5C979681" w:rsidR="00A6710B" w:rsidRPr="00A6710B" w:rsidRDefault="00A6710B" w:rsidP="00C849EE">
            <w:pPr>
              <w:tabs>
                <w:tab w:val="decimal" w:pos="1026"/>
              </w:tabs>
              <w:jc w:val="right"/>
              <w:rPr>
                <w:b/>
              </w:rPr>
            </w:pPr>
            <w:r w:rsidRPr="00A6710B">
              <w:rPr>
                <w:b/>
              </w:rPr>
              <w:t>4.884.904</w:t>
            </w:r>
          </w:p>
        </w:tc>
      </w:tr>
      <w:tr w:rsidR="00A6710B" w14:paraId="18FF263C" w14:textId="77777777" w:rsidTr="003C11CF">
        <w:tc>
          <w:tcPr>
            <w:tcW w:w="483" w:type="pct"/>
            <w:vMerge/>
          </w:tcPr>
          <w:p w14:paraId="26C1650F" w14:textId="77777777" w:rsidR="00A6710B" w:rsidRDefault="00A6710B" w:rsidP="005150FC"/>
        </w:tc>
        <w:tc>
          <w:tcPr>
            <w:tcW w:w="1235" w:type="pct"/>
            <w:vMerge w:val="restart"/>
            <w:hideMark/>
          </w:tcPr>
          <w:p w14:paraId="1F9558E5" w14:textId="77777777" w:rsidR="00A6710B" w:rsidRDefault="00A6710B" w:rsidP="005150FC">
            <w:r>
              <w:t>Totaal bijdrage</w:t>
            </w:r>
          </w:p>
        </w:tc>
        <w:tc>
          <w:tcPr>
            <w:tcW w:w="2004" w:type="pct"/>
            <w:hideMark/>
          </w:tcPr>
          <w:p w14:paraId="538C0A66" w14:textId="77777777" w:rsidR="00A6710B" w:rsidRDefault="00A6710B" w:rsidP="005150FC">
            <w:r>
              <w:t>1. Europese Unie</w:t>
            </w:r>
          </w:p>
        </w:tc>
        <w:tc>
          <w:tcPr>
            <w:tcW w:w="1278" w:type="pct"/>
          </w:tcPr>
          <w:p w14:paraId="5B23463B" w14:textId="5B5481EE" w:rsidR="00A6710B" w:rsidRDefault="00A6710B" w:rsidP="00C849EE">
            <w:pPr>
              <w:tabs>
                <w:tab w:val="decimal" w:pos="1026"/>
              </w:tabs>
              <w:jc w:val="right"/>
            </w:pPr>
            <w:r>
              <w:t>490.650.036</w:t>
            </w:r>
          </w:p>
        </w:tc>
      </w:tr>
      <w:tr w:rsidR="00A6710B" w14:paraId="41AB18DC" w14:textId="77777777" w:rsidTr="003C11CF">
        <w:tc>
          <w:tcPr>
            <w:tcW w:w="483" w:type="pct"/>
            <w:vMerge/>
          </w:tcPr>
          <w:p w14:paraId="12706E18" w14:textId="77777777" w:rsidR="00A6710B" w:rsidRDefault="00A6710B" w:rsidP="005150FC"/>
        </w:tc>
        <w:tc>
          <w:tcPr>
            <w:tcW w:w="1235" w:type="pct"/>
            <w:vMerge/>
          </w:tcPr>
          <w:p w14:paraId="7D09B40C" w14:textId="77777777" w:rsidR="00A6710B" w:rsidRDefault="00A6710B" w:rsidP="005150FC"/>
        </w:tc>
        <w:tc>
          <w:tcPr>
            <w:tcW w:w="2004" w:type="pct"/>
            <w:hideMark/>
          </w:tcPr>
          <w:p w14:paraId="1FF45476" w14:textId="77777777" w:rsidR="00A6710B" w:rsidRDefault="00A6710B" w:rsidP="005150FC">
            <w:r>
              <w:t>2. VS</w:t>
            </w:r>
          </w:p>
        </w:tc>
        <w:tc>
          <w:tcPr>
            <w:tcW w:w="1278" w:type="pct"/>
          </w:tcPr>
          <w:p w14:paraId="35911C0B" w14:textId="15CFAB8B" w:rsidR="00A6710B" w:rsidRDefault="00A6710B" w:rsidP="00C849EE">
            <w:pPr>
              <w:tabs>
                <w:tab w:val="decimal" w:pos="1026"/>
              </w:tabs>
              <w:jc w:val="right"/>
            </w:pPr>
            <w:r>
              <w:t>37.544.819</w:t>
            </w:r>
          </w:p>
        </w:tc>
      </w:tr>
      <w:tr w:rsidR="00A6710B" w14:paraId="33A29333" w14:textId="77777777" w:rsidTr="003C11CF">
        <w:tc>
          <w:tcPr>
            <w:tcW w:w="483" w:type="pct"/>
            <w:vMerge/>
          </w:tcPr>
          <w:p w14:paraId="4196ACCB" w14:textId="77777777" w:rsidR="00A6710B" w:rsidRDefault="00A6710B" w:rsidP="005150FC"/>
        </w:tc>
        <w:tc>
          <w:tcPr>
            <w:tcW w:w="1235" w:type="pct"/>
            <w:vMerge/>
          </w:tcPr>
          <w:p w14:paraId="4C6FC16F" w14:textId="77777777" w:rsidR="00A6710B" w:rsidRDefault="00A6710B" w:rsidP="005150FC"/>
        </w:tc>
        <w:tc>
          <w:tcPr>
            <w:tcW w:w="2004" w:type="pct"/>
          </w:tcPr>
          <w:p w14:paraId="765CA96B" w14:textId="5CC58CAB" w:rsidR="00A6710B" w:rsidRDefault="00A6710B" w:rsidP="005150FC">
            <w:r>
              <w:t>3.</w:t>
            </w:r>
            <w:r w:rsidR="00BD558D">
              <w:t xml:space="preserve"> Colombia</w:t>
            </w:r>
          </w:p>
        </w:tc>
        <w:tc>
          <w:tcPr>
            <w:tcW w:w="1278" w:type="pct"/>
          </w:tcPr>
          <w:p w14:paraId="5BDC75DD" w14:textId="68483EA9" w:rsidR="00A6710B" w:rsidRDefault="00BD558D" w:rsidP="00C849EE">
            <w:pPr>
              <w:tabs>
                <w:tab w:val="decimal" w:pos="1026"/>
              </w:tabs>
              <w:jc w:val="right"/>
            </w:pPr>
            <w:r>
              <w:t>31.796.302</w:t>
            </w:r>
          </w:p>
        </w:tc>
      </w:tr>
      <w:tr w:rsidR="00A6710B" w14:paraId="306CD364" w14:textId="77777777" w:rsidTr="003C11CF">
        <w:tc>
          <w:tcPr>
            <w:tcW w:w="483" w:type="pct"/>
            <w:vMerge/>
          </w:tcPr>
          <w:p w14:paraId="2BC5BA64" w14:textId="77777777" w:rsidR="00A6710B" w:rsidRDefault="00A6710B" w:rsidP="005150FC"/>
        </w:tc>
        <w:tc>
          <w:tcPr>
            <w:tcW w:w="1235" w:type="pct"/>
            <w:vMerge/>
          </w:tcPr>
          <w:p w14:paraId="38387FD9" w14:textId="77777777" w:rsidR="00A6710B" w:rsidRDefault="00A6710B" w:rsidP="005150FC"/>
        </w:tc>
        <w:tc>
          <w:tcPr>
            <w:tcW w:w="2004" w:type="pct"/>
            <w:hideMark/>
          </w:tcPr>
          <w:p w14:paraId="1AAAA105" w14:textId="77777777" w:rsidR="00A6710B" w:rsidRPr="00A6710B" w:rsidRDefault="00A6710B" w:rsidP="00A825AE">
            <w:pPr>
              <w:rPr>
                <w:b/>
              </w:rPr>
            </w:pPr>
            <w:r w:rsidRPr="00A6710B">
              <w:rPr>
                <w:b/>
              </w:rPr>
              <w:t>12. Nederland</w:t>
            </w:r>
          </w:p>
        </w:tc>
        <w:tc>
          <w:tcPr>
            <w:tcW w:w="1278" w:type="pct"/>
          </w:tcPr>
          <w:p w14:paraId="2C0AFD3A" w14:textId="69B9C886" w:rsidR="00A6710B" w:rsidRPr="00A6710B" w:rsidRDefault="00A6710B" w:rsidP="00C849EE">
            <w:pPr>
              <w:tabs>
                <w:tab w:val="decimal" w:pos="1026"/>
              </w:tabs>
              <w:jc w:val="right"/>
              <w:rPr>
                <w:b/>
              </w:rPr>
            </w:pPr>
            <w:r w:rsidRPr="00A6710B">
              <w:rPr>
                <w:b/>
              </w:rPr>
              <w:t>4.884.904</w:t>
            </w:r>
          </w:p>
        </w:tc>
      </w:tr>
      <w:tr w:rsidR="005150FC" w14:paraId="12BF1EB6" w14:textId="77777777" w:rsidTr="003C11CF">
        <w:tc>
          <w:tcPr>
            <w:tcW w:w="483" w:type="pct"/>
            <w:shd w:val="clear" w:color="auto" w:fill="D9D9D9"/>
          </w:tcPr>
          <w:p w14:paraId="492F101F" w14:textId="77777777" w:rsidR="005150FC" w:rsidRDefault="005150FC" w:rsidP="005150FC">
            <w:pPr>
              <w:ind w:right="-211"/>
            </w:pPr>
          </w:p>
        </w:tc>
        <w:tc>
          <w:tcPr>
            <w:tcW w:w="1235" w:type="pct"/>
            <w:shd w:val="clear" w:color="auto" w:fill="D9D9D9"/>
          </w:tcPr>
          <w:p w14:paraId="3951FC44" w14:textId="77777777" w:rsidR="005150FC" w:rsidRDefault="005150FC" w:rsidP="005150FC">
            <w:pPr>
              <w:ind w:right="-211"/>
            </w:pPr>
          </w:p>
        </w:tc>
        <w:tc>
          <w:tcPr>
            <w:tcW w:w="2004" w:type="pct"/>
            <w:shd w:val="clear" w:color="auto" w:fill="D9D9D9"/>
          </w:tcPr>
          <w:p w14:paraId="7740AD5B" w14:textId="77777777" w:rsidR="005150FC" w:rsidRDefault="005150FC" w:rsidP="005150FC">
            <w:pPr>
              <w:ind w:right="-211"/>
            </w:pPr>
          </w:p>
        </w:tc>
        <w:tc>
          <w:tcPr>
            <w:tcW w:w="1278" w:type="pct"/>
            <w:shd w:val="clear" w:color="auto" w:fill="D9D9D9"/>
          </w:tcPr>
          <w:p w14:paraId="57520D0E" w14:textId="77777777" w:rsidR="005150FC" w:rsidRDefault="005150FC" w:rsidP="00C849EE">
            <w:pPr>
              <w:tabs>
                <w:tab w:val="decimal" w:pos="1167"/>
              </w:tabs>
              <w:ind w:right="-211"/>
              <w:jc w:val="right"/>
            </w:pPr>
          </w:p>
        </w:tc>
      </w:tr>
      <w:tr w:rsidR="00A6710B" w14:paraId="0B1EFADB" w14:textId="77777777" w:rsidTr="00C849EE">
        <w:trPr>
          <w:trHeight w:val="322"/>
        </w:trPr>
        <w:tc>
          <w:tcPr>
            <w:tcW w:w="483" w:type="pct"/>
            <w:vMerge w:val="restart"/>
            <w:hideMark/>
          </w:tcPr>
          <w:p w14:paraId="06BDF0AB" w14:textId="02443D77" w:rsidR="00A6710B" w:rsidRDefault="00A6710B" w:rsidP="004F391C">
            <w:pPr>
              <w:ind w:right="-211"/>
            </w:pPr>
            <w:r>
              <w:t>2016</w:t>
            </w:r>
          </w:p>
        </w:tc>
        <w:tc>
          <w:tcPr>
            <w:tcW w:w="1235" w:type="pct"/>
            <w:vMerge w:val="restart"/>
            <w:hideMark/>
          </w:tcPr>
          <w:p w14:paraId="095B78CF" w14:textId="77777777" w:rsidR="00A6710B" w:rsidRDefault="00A6710B" w:rsidP="005150FC">
            <w:pPr>
              <w:ind w:right="-211"/>
            </w:pPr>
            <w:proofErr w:type="spellStart"/>
            <w:r w:rsidRPr="00A13499">
              <w:rPr>
                <w:i/>
              </w:rPr>
              <w:t>Core</w:t>
            </w:r>
            <w:proofErr w:type="spellEnd"/>
            <w:r>
              <w:t>-bijdrage</w:t>
            </w:r>
          </w:p>
        </w:tc>
        <w:tc>
          <w:tcPr>
            <w:tcW w:w="2004" w:type="pct"/>
            <w:hideMark/>
          </w:tcPr>
          <w:p w14:paraId="545CC58C" w14:textId="032F8326" w:rsidR="00A6710B" w:rsidRDefault="00A6710B" w:rsidP="00097657">
            <w:pPr>
              <w:ind w:right="-211"/>
            </w:pPr>
            <w:r>
              <w:t>1.</w:t>
            </w:r>
            <w:r w:rsidR="00A714CD">
              <w:t>Duitsland</w:t>
            </w:r>
          </w:p>
        </w:tc>
        <w:tc>
          <w:tcPr>
            <w:tcW w:w="1278" w:type="pct"/>
          </w:tcPr>
          <w:p w14:paraId="77430FC1" w14:textId="2409524B" w:rsidR="00A6710B" w:rsidRDefault="00A714CD" w:rsidP="00C849EE">
            <w:pPr>
              <w:spacing w:line="240" w:lineRule="auto"/>
              <w:jc w:val="right"/>
            </w:pPr>
            <w:r>
              <w:rPr>
                <w:color w:val="000000"/>
              </w:rPr>
              <w:t>1.165.389</w:t>
            </w:r>
          </w:p>
        </w:tc>
      </w:tr>
      <w:tr w:rsidR="00A6710B" w14:paraId="3342E91A" w14:textId="77777777" w:rsidTr="003C11CF">
        <w:tc>
          <w:tcPr>
            <w:tcW w:w="483" w:type="pct"/>
            <w:vMerge/>
          </w:tcPr>
          <w:p w14:paraId="3CC5978F" w14:textId="77777777" w:rsidR="00A6710B" w:rsidRDefault="00A6710B" w:rsidP="005150FC">
            <w:pPr>
              <w:ind w:right="-211"/>
            </w:pPr>
          </w:p>
        </w:tc>
        <w:tc>
          <w:tcPr>
            <w:tcW w:w="1235" w:type="pct"/>
            <w:vMerge/>
          </w:tcPr>
          <w:p w14:paraId="496E6523" w14:textId="77777777" w:rsidR="00A6710B" w:rsidRDefault="00A6710B" w:rsidP="005150FC">
            <w:pPr>
              <w:ind w:right="-211"/>
            </w:pPr>
          </w:p>
        </w:tc>
        <w:tc>
          <w:tcPr>
            <w:tcW w:w="2004" w:type="pct"/>
            <w:hideMark/>
          </w:tcPr>
          <w:p w14:paraId="12071406" w14:textId="27B6E6B4" w:rsidR="00A6710B" w:rsidRDefault="00A6710B" w:rsidP="00F87433">
            <w:pPr>
              <w:ind w:right="-211"/>
            </w:pPr>
            <w:r>
              <w:t xml:space="preserve">2. </w:t>
            </w:r>
            <w:r w:rsidR="00A714CD">
              <w:t>Zweden</w:t>
            </w:r>
          </w:p>
        </w:tc>
        <w:tc>
          <w:tcPr>
            <w:tcW w:w="1278" w:type="pct"/>
          </w:tcPr>
          <w:p w14:paraId="0C7B27D9" w14:textId="60809DF6" w:rsidR="00A6710B" w:rsidRPr="00A714CD" w:rsidRDefault="00A714CD" w:rsidP="00C849EE">
            <w:pPr>
              <w:spacing w:line="240" w:lineRule="auto"/>
              <w:jc w:val="right"/>
              <w:rPr>
                <w:rFonts w:cs="Arial"/>
                <w:szCs w:val="18"/>
              </w:rPr>
            </w:pPr>
            <w:r w:rsidRPr="00A714CD">
              <w:rPr>
                <w:rFonts w:cs="Arial"/>
                <w:color w:val="000000"/>
                <w:szCs w:val="18"/>
              </w:rPr>
              <w:t>724.868</w:t>
            </w:r>
          </w:p>
        </w:tc>
      </w:tr>
      <w:tr w:rsidR="00B64502" w14:paraId="30571BAE" w14:textId="17024AAB" w:rsidTr="003C11CF">
        <w:tc>
          <w:tcPr>
            <w:tcW w:w="483" w:type="pct"/>
            <w:vMerge/>
          </w:tcPr>
          <w:p w14:paraId="096975B6" w14:textId="77777777" w:rsidR="00B64502" w:rsidRDefault="00B64502" w:rsidP="005150FC">
            <w:pPr>
              <w:ind w:right="-211"/>
            </w:pPr>
          </w:p>
        </w:tc>
        <w:tc>
          <w:tcPr>
            <w:tcW w:w="1235" w:type="pct"/>
            <w:vMerge/>
          </w:tcPr>
          <w:p w14:paraId="06592812" w14:textId="77777777" w:rsidR="00B64502" w:rsidRDefault="00B64502" w:rsidP="005150FC">
            <w:pPr>
              <w:ind w:right="-211"/>
            </w:pPr>
          </w:p>
        </w:tc>
        <w:tc>
          <w:tcPr>
            <w:tcW w:w="2004" w:type="pct"/>
            <w:hideMark/>
          </w:tcPr>
          <w:p w14:paraId="3EED445B" w14:textId="0740B53B" w:rsidR="00B64502" w:rsidRDefault="00B64502" w:rsidP="00F87433">
            <w:pPr>
              <w:ind w:right="-211"/>
            </w:pPr>
            <w:r>
              <w:t>3. VS</w:t>
            </w:r>
          </w:p>
        </w:tc>
        <w:tc>
          <w:tcPr>
            <w:tcW w:w="1" w:type="pct"/>
          </w:tcPr>
          <w:p w14:paraId="4DF746AE" w14:textId="25329FBA" w:rsidR="00B64502" w:rsidRPr="00A714CD" w:rsidRDefault="00B64502" w:rsidP="00C849EE">
            <w:pPr>
              <w:tabs>
                <w:tab w:val="decimal" w:pos="1026"/>
              </w:tabs>
              <w:ind w:right="-211"/>
              <w:jc w:val="right"/>
              <w:rPr>
                <w:rFonts w:cs="Arial"/>
                <w:szCs w:val="18"/>
              </w:rPr>
            </w:pPr>
            <w:r>
              <w:rPr>
                <w:rFonts w:cs="Arial"/>
                <w:szCs w:val="18"/>
              </w:rPr>
              <w:t>600.0000</w:t>
            </w:r>
          </w:p>
        </w:tc>
      </w:tr>
      <w:tr w:rsidR="00A6710B" w14:paraId="05EB75DA" w14:textId="77777777" w:rsidTr="003C11CF">
        <w:tc>
          <w:tcPr>
            <w:tcW w:w="444" w:type="pct"/>
            <w:vMerge/>
          </w:tcPr>
          <w:p w14:paraId="21E73DC2" w14:textId="77777777" w:rsidR="00A6710B" w:rsidRDefault="00A6710B" w:rsidP="005150FC">
            <w:pPr>
              <w:ind w:right="-211"/>
            </w:pPr>
          </w:p>
        </w:tc>
        <w:tc>
          <w:tcPr>
            <w:tcW w:w="1196" w:type="pct"/>
            <w:vMerge w:val="restart"/>
            <w:hideMark/>
          </w:tcPr>
          <w:p w14:paraId="77F60073" w14:textId="77777777" w:rsidR="00A6710B" w:rsidRDefault="00A6710B" w:rsidP="005150FC">
            <w:pPr>
              <w:ind w:right="-211"/>
            </w:pPr>
            <w:r w:rsidRPr="00A13499">
              <w:rPr>
                <w:i/>
              </w:rPr>
              <w:t>Non-</w:t>
            </w:r>
            <w:proofErr w:type="spellStart"/>
            <w:r w:rsidRPr="00A13499">
              <w:rPr>
                <w:i/>
              </w:rPr>
              <w:t>core</w:t>
            </w:r>
            <w:proofErr w:type="spellEnd"/>
            <w:r>
              <w:t>-bijdragen</w:t>
            </w:r>
          </w:p>
        </w:tc>
        <w:tc>
          <w:tcPr>
            <w:tcW w:w="1965" w:type="pct"/>
            <w:hideMark/>
          </w:tcPr>
          <w:p w14:paraId="39A5FD63" w14:textId="7B9305F5" w:rsidR="00A6710B" w:rsidRDefault="00A6710B" w:rsidP="00A714CD">
            <w:pPr>
              <w:ind w:right="-211"/>
            </w:pPr>
            <w:r>
              <w:t xml:space="preserve">1. </w:t>
            </w:r>
            <w:r w:rsidR="00A714CD">
              <w:t>VS</w:t>
            </w:r>
          </w:p>
        </w:tc>
        <w:tc>
          <w:tcPr>
            <w:tcW w:w="1395" w:type="pct"/>
          </w:tcPr>
          <w:p w14:paraId="0E6E76B6" w14:textId="31348B25" w:rsidR="00A6710B" w:rsidRPr="00A714CD" w:rsidRDefault="00A714CD" w:rsidP="00C849EE">
            <w:pPr>
              <w:tabs>
                <w:tab w:val="decimal" w:pos="1026"/>
              </w:tabs>
              <w:ind w:right="-211"/>
              <w:jc w:val="right"/>
              <w:rPr>
                <w:rFonts w:cs="Arial"/>
                <w:szCs w:val="18"/>
              </w:rPr>
            </w:pPr>
            <w:r w:rsidRPr="00A714CD">
              <w:rPr>
                <w:rFonts w:cs="Arial"/>
                <w:szCs w:val="18"/>
              </w:rPr>
              <w:t>77.990.785</w:t>
            </w:r>
          </w:p>
        </w:tc>
      </w:tr>
      <w:tr w:rsidR="00A6710B" w14:paraId="64CA1456" w14:textId="77777777" w:rsidTr="003C11CF">
        <w:tc>
          <w:tcPr>
            <w:tcW w:w="444" w:type="pct"/>
            <w:vMerge/>
          </w:tcPr>
          <w:p w14:paraId="435D1A8E" w14:textId="77777777" w:rsidR="00A6710B" w:rsidRDefault="00A6710B" w:rsidP="005150FC">
            <w:pPr>
              <w:ind w:right="-211"/>
            </w:pPr>
          </w:p>
        </w:tc>
        <w:tc>
          <w:tcPr>
            <w:tcW w:w="1196" w:type="pct"/>
            <w:vMerge/>
          </w:tcPr>
          <w:p w14:paraId="03F41A2B" w14:textId="77777777" w:rsidR="00A6710B" w:rsidRDefault="00A6710B" w:rsidP="005150FC">
            <w:pPr>
              <w:ind w:right="-211"/>
            </w:pPr>
          </w:p>
        </w:tc>
        <w:tc>
          <w:tcPr>
            <w:tcW w:w="1965" w:type="pct"/>
            <w:hideMark/>
          </w:tcPr>
          <w:p w14:paraId="618FBD7C" w14:textId="1B8CF525" w:rsidR="00A6710B" w:rsidRDefault="00A714CD" w:rsidP="00A714CD">
            <w:pPr>
              <w:ind w:right="-211"/>
            </w:pPr>
            <w:r>
              <w:t>2. Colombia</w:t>
            </w:r>
          </w:p>
        </w:tc>
        <w:tc>
          <w:tcPr>
            <w:tcW w:w="1395" w:type="pct"/>
          </w:tcPr>
          <w:p w14:paraId="416D6D6C" w14:textId="0DA86796" w:rsidR="00A6710B" w:rsidRPr="00A714CD" w:rsidRDefault="00A714CD" w:rsidP="00C849EE">
            <w:pPr>
              <w:tabs>
                <w:tab w:val="decimal" w:pos="1026"/>
              </w:tabs>
              <w:ind w:right="-211"/>
              <w:jc w:val="right"/>
              <w:rPr>
                <w:rFonts w:cs="Arial"/>
                <w:szCs w:val="18"/>
              </w:rPr>
            </w:pPr>
            <w:r w:rsidRPr="00A714CD">
              <w:rPr>
                <w:rFonts w:cs="Arial"/>
                <w:szCs w:val="18"/>
              </w:rPr>
              <w:t>43.834.015</w:t>
            </w:r>
          </w:p>
        </w:tc>
      </w:tr>
      <w:tr w:rsidR="00A6710B" w14:paraId="337200F8" w14:textId="77777777" w:rsidTr="003C11CF">
        <w:tc>
          <w:tcPr>
            <w:tcW w:w="444" w:type="pct"/>
            <w:vMerge/>
          </w:tcPr>
          <w:p w14:paraId="67D35BE7" w14:textId="77777777" w:rsidR="00A6710B" w:rsidRDefault="00A6710B" w:rsidP="005150FC">
            <w:pPr>
              <w:ind w:right="-211"/>
            </w:pPr>
          </w:p>
        </w:tc>
        <w:tc>
          <w:tcPr>
            <w:tcW w:w="1196" w:type="pct"/>
            <w:vMerge/>
          </w:tcPr>
          <w:p w14:paraId="327999CA" w14:textId="77777777" w:rsidR="00A6710B" w:rsidRDefault="00A6710B" w:rsidP="005150FC">
            <w:pPr>
              <w:ind w:right="-211"/>
            </w:pPr>
          </w:p>
        </w:tc>
        <w:tc>
          <w:tcPr>
            <w:tcW w:w="1965" w:type="pct"/>
          </w:tcPr>
          <w:p w14:paraId="7E0DB14C" w14:textId="60EAC8B0" w:rsidR="00A6710B" w:rsidRDefault="00A6710B" w:rsidP="005150FC">
            <w:pPr>
              <w:ind w:right="-211"/>
            </w:pPr>
            <w:r>
              <w:t xml:space="preserve">3. </w:t>
            </w:r>
            <w:r w:rsidR="00A714CD">
              <w:t>EU</w:t>
            </w:r>
          </w:p>
        </w:tc>
        <w:tc>
          <w:tcPr>
            <w:tcW w:w="1395" w:type="pct"/>
          </w:tcPr>
          <w:p w14:paraId="6E57A56C" w14:textId="255FA2E3" w:rsidR="00A6710B" w:rsidRPr="00A714CD" w:rsidRDefault="00A714CD" w:rsidP="00C849EE">
            <w:pPr>
              <w:tabs>
                <w:tab w:val="decimal" w:pos="1026"/>
              </w:tabs>
              <w:ind w:right="-211"/>
              <w:jc w:val="right"/>
              <w:rPr>
                <w:rFonts w:cs="Arial"/>
                <w:szCs w:val="18"/>
              </w:rPr>
            </w:pPr>
            <w:r w:rsidRPr="00A714CD">
              <w:rPr>
                <w:rFonts w:cs="Arial"/>
                <w:szCs w:val="18"/>
              </w:rPr>
              <w:t>37.243.996</w:t>
            </w:r>
          </w:p>
        </w:tc>
      </w:tr>
      <w:tr w:rsidR="00A6710B" w14:paraId="4659FE62" w14:textId="77777777" w:rsidTr="003C11CF">
        <w:tc>
          <w:tcPr>
            <w:tcW w:w="444" w:type="pct"/>
            <w:vMerge/>
          </w:tcPr>
          <w:p w14:paraId="32C34E4A" w14:textId="77777777" w:rsidR="00A6710B" w:rsidRDefault="00A6710B" w:rsidP="005150FC">
            <w:pPr>
              <w:ind w:right="-211"/>
            </w:pPr>
          </w:p>
        </w:tc>
        <w:tc>
          <w:tcPr>
            <w:tcW w:w="1196" w:type="pct"/>
            <w:vMerge/>
          </w:tcPr>
          <w:p w14:paraId="559C1F9B" w14:textId="77777777" w:rsidR="00A6710B" w:rsidRDefault="00A6710B" w:rsidP="005150FC">
            <w:pPr>
              <w:ind w:right="-211"/>
            </w:pPr>
          </w:p>
        </w:tc>
        <w:tc>
          <w:tcPr>
            <w:tcW w:w="1965" w:type="pct"/>
            <w:hideMark/>
          </w:tcPr>
          <w:p w14:paraId="6F15C83B" w14:textId="67EBAB4B" w:rsidR="00A6710B" w:rsidRDefault="00A714CD" w:rsidP="00273C10">
            <w:pPr>
              <w:ind w:right="-211"/>
            </w:pPr>
            <w:r>
              <w:t>14</w:t>
            </w:r>
            <w:r w:rsidR="00A6710B">
              <w:t xml:space="preserve"> </w:t>
            </w:r>
            <w:r w:rsidR="00A6710B" w:rsidRPr="00F87433">
              <w:rPr>
                <w:b/>
              </w:rPr>
              <w:t xml:space="preserve">Nederland </w:t>
            </w:r>
          </w:p>
        </w:tc>
        <w:tc>
          <w:tcPr>
            <w:tcW w:w="1395" w:type="pct"/>
          </w:tcPr>
          <w:p w14:paraId="14024659" w14:textId="67DA624A" w:rsidR="00A6710B" w:rsidRPr="00A714CD" w:rsidRDefault="00A714CD" w:rsidP="00C849EE">
            <w:pPr>
              <w:spacing w:line="240" w:lineRule="auto"/>
              <w:jc w:val="right"/>
              <w:rPr>
                <w:rFonts w:cs="Arial"/>
                <w:b/>
                <w:bCs/>
                <w:color w:val="000000"/>
                <w:szCs w:val="18"/>
              </w:rPr>
            </w:pPr>
            <w:r w:rsidRPr="00A714CD">
              <w:rPr>
                <w:rFonts w:cs="Arial"/>
                <w:szCs w:val="18"/>
              </w:rPr>
              <w:t xml:space="preserve"> </w:t>
            </w:r>
            <w:r w:rsidR="00C849EE">
              <w:rPr>
                <w:rFonts w:cs="Arial"/>
                <w:szCs w:val="18"/>
              </w:rPr>
              <w:t xml:space="preserve"> </w:t>
            </w:r>
            <w:r>
              <w:rPr>
                <w:rFonts w:cs="Arial"/>
                <w:b/>
                <w:bCs/>
                <w:color w:val="000000"/>
                <w:szCs w:val="18"/>
              </w:rPr>
              <w:t>3.643.852</w:t>
            </w:r>
          </w:p>
        </w:tc>
      </w:tr>
      <w:tr w:rsidR="00A6710B" w14:paraId="566648C5" w14:textId="77777777" w:rsidTr="003C11CF">
        <w:tc>
          <w:tcPr>
            <w:tcW w:w="444" w:type="pct"/>
            <w:vMerge/>
          </w:tcPr>
          <w:p w14:paraId="1A3A0E22" w14:textId="77777777" w:rsidR="00A6710B" w:rsidRDefault="00A6710B" w:rsidP="005150FC">
            <w:pPr>
              <w:ind w:right="-211"/>
            </w:pPr>
          </w:p>
        </w:tc>
        <w:tc>
          <w:tcPr>
            <w:tcW w:w="1196" w:type="pct"/>
            <w:vMerge w:val="restart"/>
            <w:hideMark/>
          </w:tcPr>
          <w:p w14:paraId="63E298DF" w14:textId="77777777" w:rsidR="00A6710B" w:rsidRDefault="00A6710B" w:rsidP="005150FC">
            <w:pPr>
              <w:ind w:right="-211"/>
            </w:pPr>
            <w:r>
              <w:t>Totaal bijdrage</w:t>
            </w:r>
          </w:p>
        </w:tc>
        <w:tc>
          <w:tcPr>
            <w:tcW w:w="1965" w:type="pct"/>
            <w:hideMark/>
          </w:tcPr>
          <w:p w14:paraId="6A590BCD" w14:textId="3AB00524" w:rsidR="00A6710B" w:rsidRDefault="00A6710B" w:rsidP="00F87433">
            <w:pPr>
              <w:ind w:right="-211"/>
            </w:pPr>
            <w:r>
              <w:t xml:space="preserve">1. </w:t>
            </w:r>
            <w:r w:rsidR="00F87433">
              <w:t>VS</w:t>
            </w:r>
          </w:p>
        </w:tc>
        <w:tc>
          <w:tcPr>
            <w:tcW w:w="1395" w:type="pct"/>
          </w:tcPr>
          <w:p w14:paraId="0751733D" w14:textId="2B9782F3" w:rsidR="00A6710B" w:rsidRPr="00A714CD" w:rsidRDefault="00F87433" w:rsidP="00C849EE">
            <w:pPr>
              <w:tabs>
                <w:tab w:val="decimal" w:pos="1026"/>
              </w:tabs>
              <w:ind w:right="-211"/>
              <w:jc w:val="right"/>
              <w:rPr>
                <w:rFonts w:cs="Arial"/>
                <w:szCs w:val="18"/>
              </w:rPr>
            </w:pPr>
            <w:r w:rsidRPr="00A714CD">
              <w:rPr>
                <w:rFonts w:cs="Arial"/>
                <w:szCs w:val="18"/>
              </w:rPr>
              <w:t>78.590.785</w:t>
            </w:r>
          </w:p>
        </w:tc>
      </w:tr>
      <w:tr w:rsidR="00A6710B" w14:paraId="764BC361" w14:textId="77777777" w:rsidTr="003C11CF">
        <w:tc>
          <w:tcPr>
            <w:tcW w:w="444" w:type="pct"/>
            <w:vMerge/>
          </w:tcPr>
          <w:p w14:paraId="1698DBA7" w14:textId="77777777" w:rsidR="00A6710B" w:rsidRDefault="00A6710B" w:rsidP="005150FC">
            <w:pPr>
              <w:ind w:right="-211"/>
            </w:pPr>
          </w:p>
        </w:tc>
        <w:tc>
          <w:tcPr>
            <w:tcW w:w="1196" w:type="pct"/>
            <w:vMerge/>
          </w:tcPr>
          <w:p w14:paraId="6134567E" w14:textId="77777777" w:rsidR="00A6710B" w:rsidRDefault="00A6710B" w:rsidP="005150FC">
            <w:pPr>
              <w:ind w:right="-211"/>
            </w:pPr>
          </w:p>
        </w:tc>
        <w:tc>
          <w:tcPr>
            <w:tcW w:w="1965" w:type="pct"/>
            <w:hideMark/>
          </w:tcPr>
          <w:p w14:paraId="3929C3A2" w14:textId="0D1DFDDE" w:rsidR="00A6710B" w:rsidRDefault="00A6710B" w:rsidP="00F87433">
            <w:pPr>
              <w:ind w:right="-211"/>
            </w:pPr>
            <w:r>
              <w:t xml:space="preserve">2. </w:t>
            </w:r>
            <w:r w:rsidR="00F87433">
              <w:t>Colombia</w:t>
            </w:r>
          </w:p>
        </w:tc>
        <w:tc>
          <w:tcPr>
            <w:tcW w:w="1395" w:type="pct"/>
          </w:tcPr>
          <w:p w14:paraId="7882D149" w14:textId="5C066121" w:rsidR="00A6710B" w:rsidRPr="00A714CD" w:rsidRDefault="00F87433" w:rsidP="00C849EE">
            <w:pPr>
              <w:tabs>
                <w:tab w:val="decimal" w:pos="1026"/>
              </w:tabs>
              <w:ind w:right="-211"/>
              <w:jc w:val="right"/>
              <w:rPr>
                <w:rFonts w:cs="Arial"/>
                <w:szCs w:val="18"/>
              </w:rPr>
            </w:pPr>
            <w:r w:rsidRPr="00A714CD">
              <w:rPr>
                <w:rFonts w:cs="Arial"/>
                <w:szCs w:val="18"/>
              </w:rPr>
              <w:t>43.834.015</w:t>
            </w:r>
          </w:p>
        </w:tc>
      </w:tr>
      <w:tr w:rsidR="00A6710B" w14:paraId="2C6FC3F9" w14:textId="77777777" w:rsidTr="003C11CF">
        <w:tc>
          <w:tcPr>
            <w:tcW w:w="444" w:type="pct"/>
            <w:vMerge/>
          </w:tcPr>
          <w:p w14:paraId="1A5A270A" w14:textId="77777777" w:rsidR="00A6710B" w:rsidRDefault="00A6710B" w:rsidP="005150FC">
            <w:pPr>
              <w:ind w:right="-211"/>
            </w:pPr>
          </w:p>
        </w:tc>
        <w:tc>
          <w:tcPr>
            <w:tcW w:w="1196" w:type="pct"/>
            <w:vMerge/>
          </w:tcPr>
          <w:p w14:paraId="0F985EC9" w14:textId="77777777" w:rsidR="00A6710B" w:rsidRDefault="00A6710B" w:rsidP="005150FC">
            <w:pPr>
              <w:ind w:right="-211"/>
            </w:pPr>
          </w:p>
        </w:tc>
        <w:tc>
          <w:tcPr>
            <w:tcW w:w="1965" w:type="pct"/>
          </w:tcPr>
          <w:p w14:paraId="637908AE" w14:textId="0934163E" w:rsidR="00A6710B" w:rsidRDefault="00A6710B" w:rsidP="005150FC">
            <w:pPr>
              <w:ind w:right="-211"/>
            </w:pPr>
            <w:r>
              <w:t xml:space="preserve">3. </w:t>
            </w:r>
            <w:r w:rsidR="00F87433">
              <w:t>Europese Unie</w:t>
            </w:r>
          </w:p>
        </w:tc>
        <w:tc>
          <w:tcPr>
            <w:tcW w:w="1395" w:type="pct"/>
          </w:tcPr>
          <w:p w14:paraId="354ED5E0" w14:textId="26D9EE97" w:rsidR="00A6710B" w:rsidRPr="00A714CD" w:rsidRDefault="00F87433" w:rsidP="00C849EE">
            <w:pPr>
              <w:tabs>
                <w:tab w:val="decimal" w:pos="1026"/>
              </w:tabs>
              <w:ind w:right="-211"/>
              <w:jc w:val="right"/>
              <w:rPr>
                <w:rFonts w:cs="Arial"/>
                <w:szCs w:val="18"/>
              </w:rPr>
            </w:pPr>
            <w:r w:rsidRPr="00A714CD">
              <w:rPr>
                <w:rFonts w:cs="Arial"/>
                <w:szCs w:val="18"/>
              </w:rPr>
              <w:t>37.243.996</w:t>
            </w:r>
          </w:p>
        </w:tc>
      </w:tr>
      <w:tr w:rsidR="00A6710B" w14:paraId="7B72E849" w14:textId="77777777" w:rsidTr="003C11CF">
        <w:tc>
          <w:tcPr>
            <w:tcW w:w="444" w:type="pct"/>
            <w:vMerge/>
          </w:tcPr>
          <w:p w14:paraId="513C3BE1" w14:textId="77777777" w:rsidR="00A6710B" w:rsidRDefault="00A6710B" w:rsidP="005150FC">
            <w:pPr>
              <w:ind w:right="-211"/>
            </w:pPr>
          </w:p>
        </w:tc>
        <w:tc>
          <w:tcPr>
            <w:tcW w:w="1196" w:type="pct"/>
            <w:vMerge/>
          </w:tcPr>
          <w:p w14:paraId="1A03E934" w14:textId="77777777" w:rsidR="00A6710B" w:rsidRDefault="00A6710B" w:rsidP="005150FC">
            <w:pPr>
              <w:ind w:right="-211"/>
            </w:pPr>
          </w:p>
        </w:tc>
        <w:tc>
          <w:tcPr>
            <w:tcW w:w="1965" w:type="pct"/>
            <w:hideMark/>
          </w:tcPr>
          <w:p w14:paraId="1FCB3A09" w14:textId="58E6ED6F" w:rsidR="00A6710B" w:rsidRPr="00F87433" w:rsidRDefault="00A714CD" w:rsidP="00097657">
            <w:pPr>
              <w:ind w:right="-211"/>
              <w:rPr>
                <w:b/>
              </w:rPr>
            </w:pPr>
            <w:r>
              <w:rPr>
                <w:b/>
              </w:rPr>
              <w:t>14</w:t>
            </w:r>
            <w:r w:rsidR="00A6710B" w:rsidRPr="00F87433">
              <w:rPr>
                <w:b/>
              </w:rPr>
              <w:t>. Nederland</w:t>
            </w:r>
          </w:p>
        </w:tc>
        <w:tc>
          <w:tcPr>
            <w:tcW w:w="1395" w:type="pct"/>
          </w:tcPr>
          <w:p w14:paraId="16004236" w14:textId="1783DB12" w:rsidR="00A6710B" w:rsidRPr="00A714CD" w:rsidRDefault="00F87433" w:rsidP="00C849EE">
            <w:pPr>
              <w:spacing w:line="240" w:lineRule="auto"/>
              <w:jc w:val="right"/>
              <w:rPr>
                <w:rFonts w:cs="Arial"/>
                <w:szCs w:val="18"/>
              </w:rPr>
            </w:pPr>
            <w:r w:rsidRPr="00A714CD">
              <w:rPr>
                <w:rFonts w:cs="Arial"/>
                <w:b/>
                <w:bCs/>
                <w:color w:val="000000"/>
                <w:szCs w:val="18"/>
              </w:rPr>
              <w:t xml:space="preserve"> 3.643.852</w:t>
            </w:r>
          </w:p>
        </w:tc>
      </w:tr>
    </w:tbl>
    <w:p w14:paraId="5DC5DA82" w14:textId="7ABB4A8A" w:rsidR="009811DF" w:rsidRDefault="00A6710B" w:rsidP="00F24A31">
      <w:pPr>
        <w:pStyle w:val="Heading1"/>
        <w:tabs>
          <w:tab w:val="num" w:pos="0"/>
        </w:tabs>
        <w:spacing w:after="240" w:line="240" w:lineRule="auto"/>
        <w:ind w:hanging="1162"/>
      </w:pPr>
      <w:bookmarkStart w:id="43" w:name="_Toc479602605"/>
      <w:bookmarkStart w:id="44" w:name="_Toc491442788"/>
      <w:r>
        <w:lastRenderedPageBreak/>
        <w:t>4</w:t>
      </w:r>
      <w:r w:rsidR="00F24A31">
        <w:t xml:space="preserve"> </w:t>
      </w:r>
      <w:r w:rsidR="00F24A31">
        <w:tab/>
      </w:r>
      <w:r w:rsidR="006C1EB0">
        <w:t>Institutionele aspecten</w:t>
      </w:r>
      <w:r w:rsidR="00D745A7">
        <w:t xml:space="preserve"> </w:t>
      </w:r>
      <w:r w:rsidR="009B1466">
        <w:t xml:space="preserve">en functioneren </w:t>
      </w:r>
      <w:r w:rsidR="00D745A7">
        <w:t>van de organisatie</w:t>
      </w:r>
      <w:bookmarkEnd w:id="43"/>
      <w:bookmarkEnd w:id="44"/>
    </w:p>
    <w:p w14:paraId="29465D57" w14:textId="77777777" w:rsidR="00A6710B" w:rsidRPr="00A6710B" w:rsidRDefault="00A6710B" w:rsidP="00A6710B">
      <w:pPr>
        <w:pStyle w:val="ListParagraph"/>
        <w:keepNext/>
        <w:widowControl w:val="0"/>
        <w:numPr>
          <w:ilvl w:val="0"/>
          <w:numId w:val="20"/>
        </w:numPr>
        <w:tabs>
          <w:tab w:val="left" w:pos="-1162"/>
          <w:tab w:val="left" w:pos="0"/>
        </w:tabs>
        <w:spacing w:before="200" w:line="240" w:lineRule="auto"/>
        <w:outlineLvl w:val="1"/>
        <w:rPr>
          <w:rFonts w:cs="Arial"/>
          <w:b/>
          <w:iCs/>
          <w:vanish/>
          <w:kern w:val="32"/>
          <w:szCs w:val="28"/>
        </w:rPr>
      </w:pPr>
    </w:p>
    <w:p w14:paraId="0878AA97" w14:textId="77777777" w:rsidR="00A6710B" w:rsidRPr="00A6710B" w:rsidRDefault="00A6710B" w:rsidP="00A6710B">
      <w:pPr>
        <w:pStyle w:val="ListParagraph"/>
        <w:keepNext/>
        <w:widowControl w:val="0"/>
        <w:numPr>
          <w:ilvl w:val="0"/>
          <w:numId w:val="20"/>
        </w:numPr>
        <w:tabs>
          <w:tab w:val="left" w:pos="-1162"/>
          <w:tab w:val="left" w:pos="0"/>
        </w:tabs>
        <w:spacing w:before="200" w:line="240" w:lineRule="auto"/>
        <w:outlineLvl w:val="1"/>
        <w:rPr>
          <w:rFonts w:cs="Arial"/>
          <w:b/>
          <w:iCs/>
          <w:vanish/>
          <w:kern w:val="32"/>
          <w:szCs w:val="28"/>
        </w:rPr>
      </w:pPr>
    </w:p>
    <w:p w14:paraId="4B6614BD" w14:textId="0B77A81A" w:rsidR="00D745A7" w:rsidRPr="004D372F" w:rsidRDefault="00D03A01" w:rsidP="00A6710B">
      <w:pPr>
        <w:pStyle w:val="Heading2"/>
        <w:numPr>
          <w:ilvl w:val="1"/>
          <w:numId w:val="20"/>
        </w:numPr>
        <w:tabs>
          <w:tab w:val="left" w:pos="-1162"/>
          <w:tab w:val="left" w:pos="0"/>
        </w:tabs>
        <w:spacing w:line="240" w:lineRule="auto"/>
      </w:pPr>
      <w:r>
        <w:t xml:space="preserve"> </w:t>
      </w:r>
      <w:bookmarkStart w:id="45" w:name="_Toc479602606"/>
      <w:r w:rsidR="00473662">
        <w:t xml:space="preserve">            </w:t>
      </w:r>
      <w:bookmarkStart w:id="46" w:name="_Toc491442789"/>
      <w:r w:rsidR="00743337">
        <w:t xml:space="preserve">Strategie en </w:t>
      </w:r>
      <w:r w:rsidR="002A310E">
        <w:t>verantwoording</w:t>
      </w:r>
      <w:bookmarkEnd w:id="45"/>
      <w:bookmarkEnd w:id="46"/>
    </w:p>
    <w:p w14:paraId="37EEB9FF" w14:textId="47099F2A" w:rsidR="007A3123" w:rsidRDefault="005113B1" w:rsidP="00473662">
      <w:r>
        <w:t>De onderwerpen waar UNODC zich mee bezig</w:t>
      </w:r>
      <w:r w:rsidR="00494495">
        <w:t xml:space="preserve"> </w:t>
      </w:r>
      <w:r>
        <w:t>houdt zijn s</w:t>
      </w:r>
      <w:r w:rsidR="00BD3ECF">
        <w:t xml:space="preserve">inds </w:t>
      </w:r>
      <w:r>
        <w:t>1997 sterker naar de voorgrond getreden</w:t>
      </w:r>
      <w:r w:rsidR="00BD3ECF">
        <w:t>. Zo zijn er</w:t>
      </w:r>
      <w:r w:rsidR="00A46158">
        <w:t xml:space="preserve"> nieuwe vormen van criminaliteit ontstaan</w:t>
      </w:r>
      <w:r w:rsidR="003F5947">
        <w:t>. Z</w:t>
      </w:r>
      <w:r w:rsidR="00BD3ECF">
        <w:t>owel het</w:t>
      </w:r>
      <w:r>
        <w:t xml:space="preserve"> </w:t>
      </w:r>
      <w:r w:rsidR="00F974BE">
        <w:t xml:space="preserve">drugs </w:t>
      </w:r>
      <w:r w:rsidR="00BD3ECF">
        <w:t>als</w:t>
      </w:r>
      <w:r w:rsidR="00F974BE">
        <w:t xml:space="preserve"> </w:t>
      </w:r>
      <w:r>
        <w:t xml:space="preserve">het </w:t>
      </w:r>
      <w:r w:rsidR="00BD3ECF">
        <w:t>criminaliteitsvraagstuk is veel</w:t>
      </w:r>
      <w:r>
        <w:t xml:space="preserve"> </w:t>
      </w:r>
      <w:r w:rsidR="00BD3ECF">
        <w:t xml:space="preserve">grootschaliger en </w:t>
      </w:r>
      <w:r>
        <w:t>grensoverschrijdende</w:t>
      </w:r>
      <w:r w:rsidR="00BD3ECF">
        <w:t>r</w:t>
      </w:r>
      <w:r>
        <w:t xml:space="preserve"> </w:t>
      </w:r>
      <w:r w:rsidR="003F5947">
        <w:t xml:space="preserve">geworden. Ook zijn </w:t>
      </w:r>
      <w:r w:rsidR="00BD3ECF">
        <w:t xml:space="preserve">er nieuwe onderwerpen bijgekomen, zoals terrorisme, </w:t>
      </w:r>
      <w:proofErr w:type="spellStart"/>
      <w:r w:rsidR="00BD3ECF" w:rsidRPr="00A01CA0">
        <w:rPr>
          <w:i/>
        </w:rPr>
        <w:t>wildlifecrime</w:t>
      </w:r>
      <w:proofErr w:type="spellEnd"/>
      <w:r w:rsidR="00BD3ECF">
        <w:t xml:space="preserve"> en </w:t>
      </w:r>
      <w:r w:rsidR="00BD3ECF" w:rsidRPr="00A01CA0">
        <w:rPr>
          <w:i/>
        </w:rPr>
        <w:t>cybercrime</w:t>
      </w:r>
      <w:r w:rsidR="00BD3ECF">
        <w:t xml:space="preserve">. De thema’s staan </w:t>
      </w:r>
      <w:r w:rsidR="007A3123">
        <w:t xml:space="preserve">onder </w:t>
      </w:r>
      <w:r w:rsidR="00BD3ECF">
        <w:t>meer politieke aandacht</w:t>
      </w:r>
      <w:r w:rsidR="007A3123">
        <w:t xml:space="preserve">. </w:t>
      </w:r>
      <w:r w:rsidR="00BD3ECF">
        <w:t xml:space="preserve">Het oorspronkelijke mandaat was summier, maar is door deze ontwikkelingen breder </w:t>
      </w:r>
      <w:r w:rsidR="003F5947">
        <w:t xml:space="preserve">en politiek relevanter </w:t>
      </w:r>
      <w:r w:rsidR="00BD3ECF">
        <w:t>geworden</w:t>
      </w:r>
      <w:r w:rsidR="00020352">
        <w:t xml:space="preserve">. Deze zijn in verschillende documenten vastgelegd, zoals de Verklaring van Doha uit 2015, de </w:t>
      </w:r>
      <w:r w:rsidR="00494495">
        <w:t>ECOSOC-strategie</w:t>
      </w:r>
      <w:r w:rsidR="00020352">
        <w:t xml:space="preserve"> over 2016-17 en voor drugs het </w:t>
      </w:r>
      <w:r w:rsidR="00494495">
        <w:t>UNGASS-document</w:t>
      </w:r>
      <w:r w:rsidR="00020352">
        <w:t xml:space="preserve"> uit 2016</w:t>
      </w:r>
      <w:r w:rsidR="00BD3ECF">
        <w:t xml:space="preserve">. </w:t>
      </w:r>
      <w:r w:rsidR="00020352">
        <w:t xml:space="preserve">Daarbij probeert UNODC aan te sluiten bij de diverse </w:t>
      </w:r>
      <w:proofErr w:type="spellStart"/>
      <w:r w:rsidR="00020352" w:rsidRPr="00A01CA0">
        <w:rPr>
          <w:i/>
        </w:rPr>
        <w:t>Sustainable</w:t>
      </w:r>
      <w:proofErr w:type="spellEnd"/>
      <w:r w:rsidR="00020352" w:rsidRPr="00A01CA0">
        <w:rPr>
          <w:i/>
        </w:rPr>
        <w:t xml:space="preserve"> Development Goals</w:t>
      </w:r>
      <w:r w:rsidR="00020352">
        <w:t xml:space="preserve"> (</w:t>
      </w:r>
      <w:proofErr w:type="spellStart"/>
      <w:r w:rsidR="00020352">
        <w:t>SDG</w:t>
      </w:r>
      <w:r w:rsidR="00A01CA0">
        <w:t>’</w:t>
      </w:r>
      <w:r w:rsidR="00020352">
        <w:t>s</w:t>
      </w:r>
      <w:proofErr w:type="spellEnd"/>
      <w:r w:rsidR="00020352">
        <w:t xml:space="preserve">) die door alle </w:t>
      </w:r>
      <w:r w:rsidR="00494495">
        <w:t>VN-</w:t>
      </w:r>
      <w:r w:rsidR="00020352">
        <w:t>lidstaten in september 2015</w:t>
      </w:r>
      <w:r w:rsidR="00494495">
        <w:t xml:space="preserve"> zijn vastgesteld</w:t>
      </w:r>
      <w:r w:rsidR="00020352">
        <w:t xml:space="preserve">. </w:t>
      </w:r>
    </w:p>
    <w:p w14:paraId="23FDE826" w14:textId="77777777" w:rsidR="007A3123" w:rsidRDefault="007A3123" w:rsidP="005113B1">
      <w:pPr>
        <w:ind w:left="227"/>
      </w:pPr>
    </w:p>
    <w:p w14:paraId="194183B3" w14:textId="3528B562" w:rsidR="00020352" w:rsidRDefault="007A3123" w:rsidP="00473662">
      <w:r>
        <w:t xml:space="preserve">De prioriteiten </w:t>
      </w:r>
      <w:r w:rsidR="00020352">
        <w:t xml:space="preserve">van het beleid </w:t>
      </w:r>
      <w:r>
        <w:t>worden bepaal</w:t>
      </w:r>
      <w:r w:rsidR="000652A5">
        <w:t>d</w:t>
      </w:r>
      <w:r w:rsidR="003F5947">
        <w:t xml:space="preserve"> door de lidstaten: </w:t>
      </w:r>
      <w:r w:rsidR="00ED7B99">
        <w:t>e</w:t>
      </w:r>
      <w:r>
        <w:t>nerzijds door het</w:t>
      </w:r>
      <w:r w:rsidR="000652A5">
        <w:t xml:space="preserve"> financieren van programma’s en projecten en anderzijds via resoluties die worden aangenomen door de CCPCJ en de CND. Wat betreft het drugsbeleid is op dit moment het UNGASS </w:t>
      </w:r>
      <w:proofErr w:type="spellStart"/>
      <w:r w:rsidR="00CB063E" w:rsidRPr="00854342">
        <w:rPr>
          <w:i/>
        </w:rPr>
        <w:t>outcome</w:t>
      </w:r>
      <w:proofErr w:type="spellEnd"/>
      <w:r w:rsidR="00CB063E" w:rsidRPr="00854342">
        <w:rPr>
          <w:i/>
        </w:rPr>
        <w:t xml:space="preserve"> document</w:t>
      </w:r>
      <w:r w:rsidR="000652A5">
        <w:t xml:space="preserve"> (2016) het belangrijkste richtinggevende document voor zowel lidstaten als UNODC. </w:t>
      </w:r>
    </w:p>
    <w:p w14:paraId="70D7E0F3" w14:textId="6F194181" w:rsidR="005113B1" w:rsidRDefault="000652A5" w:rsidP="00473662">
      <w:r>
        <w:t xml:space="preserve">Voor het werk op het gebied van georganiseerde criminaliteit is het 5-jaarlijkse </w:t>
      </w:r>
      <w:r w:rsidRPr="00494495">
        <w:rPr>
          <w:i/>
        </w:rPr>
        <w:t xml:space="preserve">Crime </w:t>
      </w:r>
      <w:proofErr w:type="spellStart"/>
      <w:r w:rsidRPr="00494495">
        <w:rPr>
          <w:i/>
        </w:rPr>
        <w:t>Congress</w:t>
      </w:r>
      <w:proofErr w:type="spellEnd"/>
      <w:r>
        <w:t xml:space="preserve"> de belangrijkste leidraad (de laatste vond plaats in Doha 2015, de volgende vind</w:t>
      </w:r>
      <w:r w:rsidR="001D20C5">
        <w:t>t</w:t>
      </w:r>
      <w:r>
        <w:t xml:space="preserve"> plaats in Japan in 2020). </w:t>
      </w:r>
      <w:r w:rsidR="00E159D6">
        <w:t>Gedurende dit congres is de Doha Declaratie opgesteld die de komende 5 jaren de prioriteiten bepaald, waaronder onderwijs aan kinderen over justitie (</w:t>
      </w:r>
      <w:r w:rsidR="00494495">
        <w:t>bijv.</w:t>
      </w:r>
      <w:r w:rsidR="00E159D6">
        <w:t xml:space="preserve"> voorkomen van criminaliteit), juridische integriteit e</w:t>
      </w:r>
      <w:r w:rsidR="00A01CA0">
        <w:t>n rehabilitatie van gevangenen.</w:t>
      </w:r>
    </w:p>
    <w:p w14:paraId="51390FAB" w14:textId="77777777" w:rsidR="005113B1" w:rsidRDefault="005113B1" w:rsidP="00312FA8"/>
    <w:p w14:paraId="0F75CCB5" w14:textId="13D7C525" w:rsidR="00020352" w:rsidRDefault="00020352" w:rsidP="00020352">
      <w:r>
        <w:t>UNODC werkt met meerjarige strategiedocumen</w:t>
      </w:r>
      <w:r w:rsidR="00494495">
        <w:t xml:space="preserve">ten die de speerpunten aangeven </w:t>
      </w:r>
      <w:r>
        <w:t>voor de desbetreffende periode. De strategiedocumenten moeten door de ECOSOC worden geaccordeerd. De strategie beslaat de periode 2016 – 2017 en bevat een achttal speerpunten, die tevens de kerntaken van de organisatie weerspiegelen:</w:t>
      </w:r>
    </w:p>
    <w:p w14:paraId="353AE39E" w14:textId="77777777" w:rsidR="00020352" w:rsidRDefault="00020352" w:rsidP="00020352">
      <w:pPr>
        <w:pStyle w:val="ListParagraph"/>
        <w:numPr>
          <w:ilvl w:val="0"/>
          <w:numId w:val="40"/>
        </w:numPr>
      </w:pPr>
      <w:r>
        <w:t>Het tegengaan van grensoverschrijdende, georganiseerde criminaliteit, waaronder drugshandel en andere vormen van illegale handel.</w:t>
      </w:r>
    </w:p>
    <w:p w14:paraId="2F3AF027" w14:textId="528375FD" w:rsidR="00020352" w:rsidRDefault="00020352" w:rsidP="00020352">
      <w:pPr>
        <w:pStyle w:val="ListParagraph"/>
        <w:numPr>
          <w:ilvl w:val="0"/>
          <w:numId w:val="40"/>
        </w:numPr>
      </w:pPr>
      <w:r>
        <w:t xml:space="preserve">Preventie, behandeling, re-integratie en alternatieve ontwikkeling om de kwetsbaarheden van drugsgebruik en </w:t>
      </w:r>
      <w:r w:rsidR="00494495">
        <w:t>hiv/aids</w:t>
      </w:r>
      <w:r>
        <w:t xml:space="preserve"> te verminderen. </w:t>
      </w:r>
    </w:p>
    <w:p w14:paraId="031BD426" w14:textId="77777777" w:rsidR="00020352" w:rsidRDefault="00020352" w:rsidP="00020352">
      <w:pPr>
        <w:pStyle w:val="ListParagraph"/>
        <w:numPr>
          <w:ilvl w:val="0"/>
          <w:numId w:val="40"/>
        </w:numPr>
      </w:pPr>
      <w:r>
        <w:t>Het tegengaan van corruptie.</w:t>
      </w:r>
    </w:p>
    <w:p w14:paraId="5DA67052" w14:textId="77777777" w:rsidR="00020352" w:rsidRDefault="00020352" w:rsidP="00020352">
      <w:pPr>
        <w:pStyle w:val="ListParagraph"/>
        <w:numPr>
          <w:ilvl w:val="0"/>
          <w:numId w:val="40"/>
        </w:numPr>
      </w:pPr>
      <w:r>
        <w:t>Het voorkomen van terrorisme.</w:t>
      </w:r>
    </w:p>
    <w:p w14:paraId="552FF4AC" w14:textId="77777777" w:rsidR="00020352" w:rsidRDefault="00020352" w:rsidP="00020352">
      <w:pPr>
        <w:pStyle w:val="ListParagraph"/>
        <w:numPr>
          <w:ilvl w:val="0"/>
          <w:numId w:val="40"/>
        </w:numPr>
      </w:pPr>
      <w:r>
        <w:t>Het bevorderen van de rechtsstaat door het bestrijden van misdaad en de versterking van de rechtshandhavingsketen in de individuele lidstaten.</w:t>
      </w:r>
    </w:p>
    <w:p w14:paraId="2BCA5722" w14:textId="77777777" w:rsidR="00020352" w:rsidRPr="00FD6B44" w:rsidRDefault="00020352" w:rsidP="00020352">
      <w:pPr>
        <w:pStyle w:val="ListParagraph"/>
        <w:numPr>
          <w:ilvl w:val="0"/>
          <w:numId w:val="40"/>
        </w:numPr>
      </w:pPr>
      <w:r w:rsidRPr="00FD6B44">
        <w:t>Onderzoek en analyse van trends op het gebied van criminaliteit alsook forensisch onderzoek.</w:t>
      </w:r>
    </w:p>
    <w:p w14:paraId="0C7D755E" w14:textId="77777777" w:rsidR="00020352" w:rsidRDefault="00020352" w:rsidP="00020352">
      <w:pPr>
        <w:pStyle w:val="ListParagraph"/>
        <w:numPr>
          <w:ilvl w:val="0"/>
          <w:numId w:val="40"/>
        </w:numPr>
      </w:pPr>
      <w:r>
        <w:t xml:space="preserve">Faciliteren van beleids- en operationele reacties op onderwerpen gerelateerd aan drugs, preventie van misdaad en </w:t>
      </w:r>
      <w:proofErr w:type="spellStart"/>
      <w:r w:rsidRPr="00A01CA0">
        <w:rPr>
          <w:i/>
        </w:rPr>
        <w:t>criminal</w:t>
      </w:r>
      <w:proofErr w:type="spellEnd"/>
      <w:r w:rsidRPr="00A01CA0">
        <w:rPr>
          <w:i/>
        </w:rPr>
        <w:t xml:space="preserve"> </w:t>
      </w:r>
      <w:proofErr w:type="spellStart"/>
      <w:r w:rsidRPr="00A01CA0">
        <w:rPr>
          <w:i/>
        </w:rPr>
        <w:t>justice</w:t>
      </w:r>
      <w:proofErr w:type="spellEnd"/>
      <w:r>
        <w:t>.</w:t>
      </w:r>
    </w:p>
    <w:p w14:paraId="440C4B99" w14:textId="77777777" w:rsidR="00020352" w:rsidRDefault="00020352" w:rsidP="00020352">
      <w:pPr>
        <w:pStyle w:val="ListParagraph"/>
        <w:numPr>
          <w:ilvl w:val="0"/>
          <w:numId w:val="40"/>
        </w:numPr>
      </w:pPr>
      <w:r>
        <w:t xml:space="preserve">Effectieve samenwerking en management met de regionale kantoren.  </w:t>
      </w:r>
    </w:p>
    <w:p w14:paraId="591374B2" w14:textId="77777777" w:rsidR="00020352" w:rsidRDefault="00020352" w:rsidP="004C1123"/>
    <w:p w14:paraId="47C1E04C" w14:textId="170A4D23" w:rsidR="004C1123" w:rsidRDefault="004C1123" w:rsidP="004C1123">
      <w:r>
        <w:t xml:space="preserve">De voornaamste </w:t>
      </w:r>
      <w:r w:rsidR="00020352">
        <w:t xml:space="preserve">SDG die </w:t>
      </w:r>
      <w:r>
        <w:t>UNODC steunt zijn:</w:t>
      </w:r>
      <w:r w:rsidR="00020352">
        <w:t xml:space="preserve"> </w:t>
      </w:r>
      <w:r>
        <w:t>Gezondheid en welzijn (3)</w:t>
      </w:r>
      <w:r w:rsidRPr="00B17FF8">
        <w:t xml:space="preserve"> </w:t>
      </w:r>
      <w:r w:rsidR="00020352">
        <w:t xml:space="preserve">en </w:t>
      </w:r>
      <w:r w:rsidR="008670D5" w:rsidRPr="008670D5">
        <w:rPr>
          <w:rFonts w:cs="Verdana"/>
          <w:szCs w:val="18"/>
        </w:rPr>
        <w:t>Vrede, Veiligheid en Rechtvaardigheid</w:t>
      </w:r>
      <w:r w:rsidR="008670D5">
        <w:rPr>
          <w:rFonts w:cs="Verdana"/>
          <w:b/>
          <w:szCs w:val="18"/>
        </w:rPr>
        <w:t xml:space="preserve"> </w:t>
      </w:r>
      <w:r>
        <w:t>(16)</w:t>
      </w:r>
      <w:r w:rsidR="00020352">
        <w:t xml:space="preserve">. </w:t>
      </w:r>
      <w:r>
        <w:t>Daarnaast levert het een bijdrage aan:</w:t>
      </w:r>
    </w:p>
    <w:p w14:paraId="7E04CDAC" w14:textId="36C4D013" w:rsidR="004C1123" w:rsidRDefault="004C1123" w:rsidP="004C1123">
      <w:r>
        <w:t>Gendergelijkheid (5)</w:t>
      </w:r>
      <w:r w:rsidR="00020352">
        <w:t xml:space="preserve">, </w:t>
      </w:r>
      <w:r>
        <w:t>Schoon water en sanitaire voorzieningen (6)</w:t>
      </w:r>
      <w:r w:rsidR="00020352">
        <w:t xml:space="preserve">, </w:t>
      </w:r>
      <w:r>
        <w:t>Werk en economische groei (8)</w:t>
      </w:r>
      <w:r w:rsidR="00020352">
        <w:t xml:space="preserve">, </w:t>
      </w:r>
      <w:r>
        <w:t>Minder ongelijkheid (10)</w:t>
      </w:r>
      <w:r w:rsidR="00020352">
        <w:t xml:space="preserve">, </w:t>
      </w:r>
      <w:r>
        <w:t>Duurzame steden en gemeenschappen (11)</w:t>
      </w:r>
      <w:r w:rsidR="00020352">
        <w:t xml:space="preserve">, </w:t>
      </w:r>
      <w:r>
        <w:t>Leven onder water (14)</w:t>
      </w:r>
      <w:r w:rsidR="00A01CA0">
        <w:t>,</w:t>
      </w:r>
      <w:r>
        <w:t xml:space="preserve"> Leven op land (15)</w:t>
      </w:r>
      <w:r w:rsidR="00020352">
        <w:t xml:space="preserve"> en Partnerschappen voor Duurzame ontwikkeling</w:t>
      </w:r>
      <w:r>
        <w:t xml:space="preserve">(17) </w:t>
      </w:r>
    </w:p>
    <w:p w14:paraId="3614DF13" w14:textId="77777777" w:rsidR="004C1123" w:rsidRDefault="004C1123" w:rsidP="004C1123">
      <w:pPr>
        <w:ind w:left="227"/>
      </w:pPr>
    </w:p>
    <w:p w14:paraId="4ED553C3" w14:textId="007F08AF" w:rsidR="00B95B2C" w:rsidRDefault="00D60D23" w:rsidP="00447D5E">
      <w:r>
        <w:lastRenderedPageBreak/>
        <w:t>Het mandaat van de UNODC is breed en speelt op veel onderwerpen tegelijk. UNODC probeert door middel van deze verdragen en documenten, aan de door de lidstaten bepaalde prioriteiten. D</w:t>
      </w:r>
      <w:r w:rsidR="00B95B2C">
        <w:t xml:space="preserve">eze uitvoering zit voornamelijk in de verschillende projecten. </w:t>
      </w:r>
      <w:r w:rsidR="00E73887">
        <w:t>Doordat UNODC grotendeels afhankelijk is van vrijwillige en grotendeels</w:t>
      </w:r>
      <w:r w:rsidR="00ED0AAF">
        <w:rPr>
          <w:i/>
        </w:rPr>
        <w:t xml:space="preserve"> non-</w:t>
      </w:r>
      <w:proofErr w:type="spellStart"/>
      <w:r w:rsidR="00ED0AAF">
        <w:rPr>
          <w:i/>
        </w:rPr>
        <w:t>core</w:t>
      </w:r>
      <w:proofErr w:type="spellEnd"/>
      <w:r w:rsidR="00E73887">
        <w:t xml:space="preserve"> fondsen wordt </w:t>
      </w:r>
      <w:r w:rsidR="00B95B2C">
        <w:t xml:space="preserve">het zwaartepunt van het beleid uiteindelijk </w:t>
      </w:r>
      <w:r w:rsidR="00E73887">
        <w:t xml:space="preserve">grotendeels bepaald door </w:t>
      </w:r>
      <w:r w:rsidR="00B95B2C">
        <w:t>de lidstaten</w:t>
      </w:r>
      <w:r w:rsidR="00E73887">
        <w:t>. Zolang dit niet verande</w:t>
      </w:r>
      <w:r w:rsidR="00B62219">
        <w:t xml:space="preserve">rt, blijft het een samenspel tussen de organisatie en de lidstaten. UNODC zou dit graag zelf wel veranderd zien, zodat het ook projecten kan doen daar waar zij de noodzaak zien. </w:t>
      </w:r>
    </w:p>
    <w:p w14:paraId="23FEC396" w14:textId="77777777" w:rsidR="00D60D23" w:rsidRDefault="00D60D23" w:rsidP="00447D5E"/>
    <w:p w14:paraId="2959315A" w14:textId="6A4F9CEF" w:rsidR="00A560F0" w:rsidRDefault="00A560F0" w:rsidP="00447D5E">
      <w:r>
        <w:t xml:space="preserve">UNODC werkt in de landen waar ze actief zijn nauw samen met de ministeries van </w:t>
      </w:r>
      <w:r w:rsidR="00B17FF8">
        <w:t xml:space="preserve">justitie, politie en het gevangeniswezen om programma’s zo effectief mogelijk te laten aansluiten op nationale aanpak en ontwikkeling. </w:t>
      </w:r>
      <w:r w:rsidR="001D20C5">
        <w:t>De toegang tot die vaak gesloten systemen is een kernkwaliteit van de organisatie</w:t>
      </w:r>
      <w:r w:rsidR="00D60D23">
        <w:t xml:space="preserve"> en is een voordeel ten opzichte van bijvoorbeeld niet </w:t>
      </w:r>
      <w:r w:rsidR="00494495">
        <w:t>gouvernementele</w:t>
      </w:r>
      <w:r w:rsidR="00D60D23">
        <w:t xml:space="preserve"> organisaties</w:t>
      </w:r>
      <w:r w:rsidR="001D20C5">
        <w:t xml:space="preserve">. </w:t>
      </w:r>
      <w:r w:rsidR="00B17FF8">
        <w:t>UNODC is in UNDAF Iran (2017-2021) de leidende VN</w:t>
      </w:r>
      <w:r w:rsidR="000652A5">
        <w:t>-</w:t>
      </w:r>
      <w:r w:rsidR="00B17FF8">
        <w:t xml:space="preserve">organisatie op </w:t>
      </w:r>
      <w:proofErr w:type="spellStart"/>
      <w:r w:rsidR="00B17FF8" w:rsidRPr="001D20C5">
        <w:rPr>
          <w:i/>
        </w:rPr>
        <w:t>pillar</w:t>
      </w:r>
      <w:proofErr w:type="spellEnd"/>
      <w:r w:rsidR="00B17FF8" w:rsidRPr="001D20C5">
        <w:rPr>
          <w:i/>
        </w:rPr>
        <w:t xml:space="preserve"> IV</w:t>
      </w:r>
      <w:r w:rsidR="00B17FF8">
        <w:t xml:space="preserve"> (</w:t>
      </w:r>
      <w:r w:rsidR="00B17FF8" w:rsidRPr="00A01CA0">
        <w:rPr>
          <w:i/>
        </w:rPr>
        <w:t xml:space="preserve">drugs </w:t>
      </w:r>
      <w:proofErr w:type="spellStart"/>
      <w:r w:rsidR="00B17FF8" w:rsidRPr="00A01CA0">
        <w:rPr>
          <w:i/>
        </w:rPr>
        <w:t>and</w:t>
      </w:r>
      <w:proofErr w:type="spellEnd"/>
      <w:r w:rsidR="00B17FF8" w:rsidRPr="00A01CA0">
        <w:rPr>
          <w:i/>
        </w:rPr>
        <w:t xml:space="preserve"> crime</w:t>
      </w:r>
      <w:r w:rsidR="00B17FF8">
        <w:t>)</w:t>
      </w:r>
      <w:r w:rsidR="002D1572">
        <w:t xml:space="preserve">. </w:t>
      </w:r>
      <w:r w:rsidR="00621CE4">
        <w:t xml:space="preserve">UNODC is actief in een aantal landen waaronder </w:t>
      </w:r>
      <w:r w:rsidR="00621CE4" w:rsidRPr="00621CE4">
        <w:t xml:space="preserve">Kazachstan, </w:t>
      </w:r>
      <w:r w:rsidR="000C26F9" w:rsidRPr="00621CE4">
        <w:t>Ethiopië</w:t>
      </w:r>
      <w:r w:rsidR="00621CE4" w:rsidRPr="00621CE4">
        <w:t>, Mozambique, Colombia, Indonesië, Mexico en Vietnam</w:t>
      </w:r>
      <w:r w:rsidR="00621CE4">
        <w:t xml:space="preserve"> e</w:t>
      </w:r>
      <w:r w:rsidR="000C26F9">
        <w:t>n</w:t>
      </w:r>
      <w:r w:rsidR="00621CE4">
        <w:t xml:space="preserve"> </w:t>
      </w:r>
      <w:r w:rsidR="002D1572">
        <w:t xml:space="preserve">ontwikkelt </w:t>
      </w:r>
      <w:r w:rsidR="00621CE4">
        <w:t>hier</w:t>
      </w:r>
      <w:r w:rsidR="002D1572">
        <w:t xml:space="preserve"> activiteiten binnen het UNDAF</w:t>
      </w:r>
      <w:r w:rsidR="000C26F9">
        <w:t>-</w:t>
      </w:r>
      <w:r w:rsidR="002D1572" w:rsidRPr="00A01CA0">
        <w:rPr>
          <w:i/>
        </w:rPr>
        <w:t>framework</w:t>
      </w:r>
      <w:r w:rsidR="002D1572">
        <w:t xml:space="preserve">. </w:t>
      </w:r>
      <w:r w:rsidR="00621CE4">
        <w:t>UNODC richt zich binnen UNDAF op</w:t>
      </w:r>
      <w:r w:rsidR="002D1572" w:rsidRPr="00F974BE">
        <w:t xml:space="preserve"> het versterken van capaciteitsopbouw </w:t>
      </w:r>
      <w:r w:rsidR="001D20C5">
        <w:t xml:space="preserve">van </w:t>
      </w:r>
      <w:proofErr w:type="spellStart"/>
      <w:r w:rsidR="002D1572" w:rsidRPr="00A01CA0">
        <w:rPr>
          <w:i/>
        </w:rPr>
        <w:t>criminal</w:t>
      </w:r>
      <w:proofErr w:type="spellEnd"/>
      <w:r w:rsidR="002D1572" w:rsidRPr="00A01CA0">
        <w:rPr>
          <w:i/>
        </w:rPr>
        <w:t xml:space="preserve"> </w:t>
      </w:r>
      <w:proofErr w:type="spellStart"/>
      <w:r w:rsidR="002D1572" w:rsidRPr="00A01CA0">
        <w:rPr>
          <w:i/>
        </w:rPr>
        <w:t>justice</w:t>
      </w:r>
      <w:proofErr w:type="spellEnd"/>
      <w:r w:rsidR="002D1572" w:rsidRPr="00F974BE">
        <w:t xml:space="preserve"> systemen</w:t>
      </w:r>
      <w:r w:rsidR="002D1572">
        <w:t>, rechtshandhaving</w:t>
      </w:r>
      <w:r w:rsidR="002D1572" w:rsidRPr="00F974BE">
        <w:t xml:space="preserve"> als ook aan </w:t>
      </w:r>
      <w:r w:rsidR="002D1572" w:rsidRPr="002D1572">
        <w:t>programma</w:t>
      </w:r>
      <w:r w:rsidR="002D1572">
        <w:t>’</w:t>
      </w:r>
      <w:r w:rsidR="002D1572" w:rsidRPr="002D1572">
        <w:t>s</w:t>
      </w:r>
      <w:r w:rsidR="002D1572" w:rsidRPr="00F974BE">
        <w:t xml:space="preserve"> </w:t>
      </w:r>
      <w:r w:rsidR="002D1572">
        <w:t>rond hiv/</w:t>
      </w:r>
      <w:r w:rsidR="00494495">
        <w:t>aidspreventie</w:t>
      </w:r>
      <w:r w:rsidR="002D1572">
        <w:t xml:space="preserve"> bij (injecterende) drugsgebruikers. </w:t>
      </w:r>
    </w:p>
    <w:p w14:paraId="72B2A45F" w14:textId="56A7FE8C" w:rsidR="00B62219" w:rsidRDefault="00B62219" w:rsidP="00447D5E"/>
    <w:p w14:paraId="05DD183B" w14:textId="29B1E550" w:rsidR="00B62219" w:rsidRPr="002D1572" w:rsidRDefault="00C354BB" w:rsidP="00447D5E">
      <w:r>
        <w:t xml:space="preserve">UNODC draagt door middel </w:t>
      </w:r>
      <w:r w:rsidR="0075778A">
        <w:t xml:space="preserve">alle </w:t>
      </w:r>
      <w:r>
        <w:t xml:space="preserve">projecten bij aan de </w:t>
      </w:r>
      <w:proofErr w:type="spellStart"/>
      <w:r w:rsidRPr="00A01CA0">
        <w:rPr>
          <w:i/>
        </w:rPr>
        <w:t>Theory</w:t>
      </w:r>
      <w:proofErr w:type="spellEnd"/>
      <w:r w:rsidRPr="00A01CA0">
        <w:rPr>
          <w:i/>
        </w:rPr>
        <w:t xml:space="preserve"> of Change</w:t>
      </w:r>
      <w:r>
        <w:t xml:space="preserve">: door het creëren van </w:t>
      </w:r>
      <w:r w:rsidR="00A01CA0">
        <w:t>rechtssystemen</w:t>
      </w:r>
      <w:r>
        <w:t xml:space="preserve">, door misdaad zoals terrorisme strafbaar te maken, door drugssmokkel tegen te gaan en gezondheidszorg en alternatieven aan te bieden aan gebruikers worden samenlevingen veiliger en kunnen landen zich ontwikkelen. Internationale samenwerking bevorderen op deze onderwerpen is daarbij ook een zeer belangrijk element. </w:t>
      </w:r>
    </w:p>
    <w:p w14:paraId="6428E021" w14:textId="77777777" w:rsidR="00A560F0" w:rsidRPr="002D1572" w:rsidRDefault="00A560F0" w:rsidP="00F974BE"/>
    <w:p w14:paraId="4B8F7B46" w14:textId="599CDF83" w:rsidR="00823438" w:rsidRDefault="00FB0F33" w:rsidP="00312FA8">
      <w:r>
        <w:t xml:space="preserve">Via </w:t>
      </w:r>
      <w:proofErr w:type="spellStart"/>
      <w:r>
        <w:t>FinGov</w:t>
      </w:r>
      <w:proofErr w:type="spellEnd"/>
      <w:r>
        <w:t xml:space="preserve"> wordt </w:t>
      </w:r>
      <w:r w:rsidR="00621CE4">
        <w:t>eens per zes weken</w:t>
      </w:r>
      <w:r>
        <w:t xml:space="preserve"> verantwoording afgelegd aan de lidstaten. Hier worden bijvoorbeeld ook de voortgang en evaluaties van de verschillende projecten en programma’s g</w:t>
      </w:r>
      <w:r w:rsidR="00621CE4">
        <w:t xml:space="preserve">epresenteerd en besproken met zowel </w:t>
      </w:r>
      <w:r>
        <w:t>het senior management van UNODC als</w:t>
      </w:r>
      <w:r w:rsidR="00621CE4">
        <w:t xml:space="preserve"> </w:t>
      </w:r>
      <w:r w:rsidR="000C26F9">
        <w:t xml:space="preserve">met </w:t>
      </w:r>
      <w:r w:rsidR="00CB063E" w:rsidRPr="00854342">
        <w:t xml:space="preserve">de project </w:t>
      </w:r>
      <w:r w:rsidR="00CB063E" w:rsidRPr="00A01CA0">
        <w:t>verantwoordelijken</w:t>
      </w:r>
      <w:r w:rsidR="000C26F9" w:rsidRPr="00A01CA0">
        <w:t>,</w:t>
      </w:r>
      <w:r w:rsidRPr="00A01CA0">
        <w:t xml:space="preserve"> </w:t>
      </w:r>
      <w:r w:rsidR="000C26F9" w:rsidRPr="00A01CA0">
        <w:t xml:space="preserve">die </w:t>
      </w:r>
      <w:r w:rsidRPr="00A01CA0">
        <w:t xml:space="preserve">betrokken </w:t>
      </w:r>
      <w:r>
        <w:t>bij het programma</w:t>
      </w:r>
      <w:r w:rsidR="000C26F9">
        <w:t xml:space="preserve"> zijn</w:t>
      </w:r>
      <w:r>
        <w:t>. Ook zijn er op regelmatige basis briefings door regiodirecteuren over de voortgang van programma’s in hun landen.</w:t>
      </w:r>
      <w:r w:rsidR="00C354BB">
        <w:t xml:space="preserve"> Niet alleen voor landen, maar ook voor overige belanghebbenden, zoals </w:t>
      </w:r>
      <w:proofErr w:type="spellStart"/>
      <w:r w:rsidR="00C354BB">
        <w:t>NGO’s</w:t>
      </w:r>
      <w:proofErr w:type="spellEnd"/>
      <w:r w:rsidR="00C354BB">
        <w:t xml:space="preserve"> is UNODC makkelijk benaderbaar. UNODC zoekt ook zelf contact met hen, omdat samenwerking essentieel is. </w:t>
      </w:r>
      <w:r>
        <w:t xml:space="preserve"> Tijdens de CND en de CCPCJ (als ook</w:t>
      </w:r>
      <w:r w:rsidR="00977ECB">
        <w:t xml:space="preserve"> bij</w:t>
      </w:r>
      <w:r>
        <w:t xml:space="preserve"> de tussentijdse sessies) zijn </w:t>
      </w:r>
      <w:proofErr w:type="spellStart"/>
      <w:r>
        <w:t>NGO’s</w:t>
      </w:r>
      <w:proofErr w:type="spellEnd"/>
      <w:r>
        <w:t xml:space="preserve"> goed vertegenwoordigd en </w:t>
      </w:r>
      <w:r w:rsidR="00C354BB">
        <w:t xml:space="preserve">kunnen ze zelfs </w:t>
      </w:r>
      <w:r w:rsidR="00621CE4">
        <w:t>aanwezig</w:t>
      </w:r>
      <w:r>
        <w:t xml:space="preserve"> </w:t>
      </w:r>
      <w:r w:rsidR="00C354BB">
        <w:t xml:space="preserve">zijn </w:t>
      </w:r>
      <w:r>
        <w:t xml:space="preserve">per videoverbinding. </w:t>
      </w:r>
      <w:r w:rsidR="001D20C5">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3"/>
        <w:gridCol w:w="953"/>
      </w:tblGrid>
      <w:tr w:rsidR="009A513F" w14:paraId="5B8B8E35" w14:textId="77777777" w:rsidTr="00F313B0">
        <w:tc>
          <w:tcPr>
            <w:tcW w:w="6912" w:type="dxa"/>
            <w:tcBorders>
              <w:top w:val="single" w:sz="12" w:space="0" w:color="auto"/>
              <w:left w:val="single" w:sz="12" w:space="0" w:color="auto"/>
              <w:bottom w:val="single" w:sz="12" w:space="0" w:color="auto"/>
            </w:tcBorders>
            <w:shd w:val="clear" w:color="auto" w:fill="D9D9D9"/>
          </w:tcPr>
          <w:p w14:paraId="689423DF" w14:textId="77777777" w:rsidR="009A513F" w:rsidRPr="00EA0AA8" w:rsidRDefault="009A513F" w:rsidP="00326699">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9D9D9"/>
          </w:tcPr>
          <w:p w14:paraId="675D398C" w14:textId="77777777" w:rsidR="009A513F" w:rsidRPr="00EA0AA8" w:rsidRDefault="009A513F" w:rsidP="00326699">
            <w:pPr>
              <w:rPr>
                <w:b/>
              </w:rPr>
            </w:pPr>
            <w:r w:rsidRPr="00EA0AA8">
              <w:rPr>
                <w:b/>
              </w:rPr>
              <w:t>Score</w:t>
            </w:r>
          </w:p>
        </w:tc>
      </w:tr>
      <w:tr w:rsidR="009A513F" w14:paraId="1DAD659C" w14:textId="77777777" w:rsidTr="00F313B0">
        <w:tc>
          <w:tcPr>
            <w:tcW w:w="6912" w:type="dxa"/>
            <w:tcBorders>
              <w:top w:val="single" w:sz="12" w:space="0" w:color="auto"/>
              <w:left w:val="single" w:sz="12" w:space="0" w:color="auto"/>
            </w:tcBorders>
            <w:shd w:val="clear" w:color="auto" w:fill="auto"/>
          </w:tcPr>
          <w:p w14:paraId="4B17E015" w14:textId="723783F9" w:rsidR="009A513F" w:rsidRDefault="00DE2DA8" w:rsidP="00326699">
            <w:r>
              <w:t>Kernmandaat / Prioriteiten</w:t>
            </w:r>
          </w:p>
        </w:tc>
        <w:tc>
          <w:tcPr>
            <w:tcW w:w="955" w:type="dxa"/>
            <w:tcBorders>
              <w:top w:val="single" w:sz="12" w:space="0" w:color="auto"/>
              <w:right w:val="single" w:sz="12" w:space="0" w:color="auto"/>
            </w:tcBorders>
            <w:shd w:val="clear" w:color="auto" w:fill="auto"/>
          </w:tcPr>
          <w:p w14:paraId="232A6565" w14:textId="77777777" w:rsidR="009A513F" w:rsidRDefault="00B64110" w:rsidP="00326699">
            <w:r>
              <w:t>3</w:t>
            </w:r>
          </w:p>
        </w:tc>
      </w:tr>
      <w:tr w:rsidR="009A513F" w14:paraId="052D391A" w14:textId="77777777" w:rsidTr="00A6710B">
        <w:trPr>
          <w:trHeight w:val="303"/>
        </w:trPr>
        <w:tc>
          <w:tcPr>
            <w:tcW w:w="6912" w:type="dxa"/>
            <w:tcBorders>
              <w:left w:val="single" w:sz="12" w:space="0" w:color="auto"/>
            </w:tcBorders>
            <w:shd w:val="clear" w:color="auto" w:fill="auto"/>
          </w:tcPr>
          <w:p w14:paraId="1A8E0F41" w14:textId="77777777" w:rsidR="009A513F" w:rsidRDefault="00DE2DA8" w:rsidP="00326699">
            <w:r>
              <w:t>Beleidsstrategie</w:t>
            </w:r>
          </w:p>
        </w:tc>
        <w:tc>
          <w:tcPr>
            <w:tcW w:w="955" w:type="dxa"/>
            <w:tcBorders>
              <w:right w:val="single" w:sz="12" w:space="0" w:color="auto"/>
            </w:tcBorders>
            <w:shd w:val="clear" w:color="auto" w:fill="auto"/>
          </w:tcPr>
          <w:p w14:paraId="7B106239" w14:textId="28017129" w:rsidR="009A513F" w:rsidRDefault="00D60D23" w:rsidP="00326699">
            <w:r>
              <w:t>3</w:t>
            </w:r>
          </w:p>
        </w:tc>
      </w:tr>
      <w:tr w:rsidR="009A513F" w14:paraId="77D11315" w14:textId="77777777" w:rsidTr="00A13499">
        <w:tc>
          <w:tcPr>
            <w:tcW w:w="6912" w:type="dxa"/>
            <w:tcBorders>
              <w:left w:val="single" w:sz="12" w:space="0" w:color="auto"/>
              <w:bottom w:val="single" w:sz="4" w:space="0" w:color="auto"/>
            </w:tcBorders>
            <w:shd w:val="clear" w:color="auto" w:fill="auto"/>
          </w:tcPr>
          <w:p w14:paraId="3F8F92F0" w14:textId="77777777" w:rsidR="009A513F" w:rsidRPr="00C849EE" w:rsidRDefault="00DE2DA8" w:rsidP="00326699">
            <w:proofErr w:type="spellStart"/>
            <w:r w:rsidRPr="00C849EE">
              <w:t>Theory</w:t>
            </w:r>
            <w:proofErr w:type="spellEnd"/>
            <w:r w:rsidRPr="00C849EE">
              <w:t xml:space="preserve"> of Change</w:t>
            </w:r>
          </w:p>
        </w:tc>
        <w:tc>
          <w:tcPr>
            <w:tcW w:w="955" w:type="dxa"/>
            <w:tcBorders>
              <w:right w:val="single" w:sz="12" w:space="0" w:color="auto"/>
            </w:tcBorders>
            <w:shd w:val="clear" w:color="auto" w:fill="auto"/>
          </w:tcPr>
          <w:p w14:paraId="7381ECE1" w14:textId="533743D4" w:rsidR="009A513F" w:rsidRDefault="00C354BB" w:rsidP="0002330E">
            <w:r w:rsidRPr="0002330E">
              <w:t>3</w:t>
            </w:r>
          </w:p>
        </w:tc>
      </w:tr>
      <w:tr w:rsidR="009A513F" w14:paraId="6ECD2054" w14:textId="77777777" w:rsidTr="00A13499">
        <w:tc>
          <w:tcPr>
            <w:tcW w:w="6912" w:type="dxa"/>
            <w:tcBorders>
              <w:top w:val="single" w:sz="4" w:space="0" w:color="auto"/>
              <w:left w:val="single" w:sz="12" w:space="0" w:color="auto"/>
              <w:bottom w:val="single" w:sz="4" w:space="0" w:color="auto"/>
            </w:tcBorders>
            <w:shd w:val="clear" w:color="auto" w:fill="auto"/>
          </w:tcPr>
          <w:p w14:paraId="4E44FE5E" w14:textId="77777777" w:rsidR="009A513F" w:rsidRDefault="00DE2DA8" w:rsidP="00326699">
            <w:r>
              <w:t>Aansluiting Nationaal beleid / Armoedestrategie</w:t>
            </w:r>
          </w:p>
        </w:tc>
        <w:tc>
          <w:tcPr>
            <w:tcW w:w="955" w:type="dxa"/>
            <w:tcBorders>
              <w:bottom w:val="single" w:sz="4" w:space="0" w:color="auto"/>
              <w:right w:val="single" w:sz="12" w:space="0" w:color="auto"/>
            </w:tcBorders>
            <w:shd w:val="clear" w:color="auto" w:fill="auto"/>
          </w:tcPr>
          <w:p w14:paraId="0840B243" w14:textId="77777777" w:rsidR="009A513F" w:rsidRDefault="00B64110" w:rsidP="00326699">
            <w:r>
              <w:t>3</w:t>
            </w:r>
          </w:p>
        </w:tc>
      </w:tr>
      <w:tr w:rsidR="002A310E" w14:paraId="78033679" w14:textId="77777777" w:rsidTr="00180CBA">
        <w:tc>
          <w:tcPr>
            <w:tcW w:w="6912" w:type="dxa"/>
            <w:tcBorders>
              <w:top w:val="single" w:sz="4" w:space="0" w:color="auto"/>
              <w:left w:val="single" w:sz="12" w:space="0" w:color="auto"/>
              <w:bottom w:val="single" w:sz="4" w:space="0" w:color="auto"/>
            </w:tcBorders>
            <w:shd w:val="clear" w:color="auto" w:fill="auto"/>
          </w:tcPr>
          <w:p w14:paraId="14497056" w14:textId="77777777" w:rsidR="002A310E" w:rsidRDefault="005F3FB6" w:rsidP="00326699">
            <w:r>
              <w:t>Verantwoording</w:t>
            </w:r>
            <w:r w:rsidR="00BA3472">
              <w:t xml:space="preserve"> </w:t>
            </w:r>
          </w:p>
        </w:tc>
        <w:tc>
          <w:tcPr>
            <w:tcW w:w="955" w:type="dxa"/>
            <w:tcBorders>
              <w:bottom w:val="single" w:sz="4" w:space="0" w:color="auto"/>
              <w:right w:val="single" w:sz="12" w:space="0" w:color="auto"/>
            </w:tcBorders>
            <w:shd w:val="clear" w:color="auto" w:fill="auto"/>
          </w:tcPr>
          <w:p w14:paraId="76E39EF9" w14:textId="77777777" w:rsidR="002A310E" w:rsidRDefault="00B64110" w:rsidP="00326699">
            <w:r>
              <w:t>4</w:t>
            </w:r>
          </w:p>
        </w:tc>
      </w:tr>
      <w:tr w:rsidR="00BA3472" w14:paraId="1BFF1B87" w14:textId="77777777" w:rsidTr="00AF7691">
        <w:tc>
          <w:tcPr>
            <w:tcW w:w="6912" w:type="dxa"/>
            <w:tcBorders>
              <w:top w:val="single" w:sz="4" w:space="0" w:color="auto"/>
              <w:left w:val="single" w:sz="12" w:space="0" w:color="auto"/>
              <w:bottom w:val="single" w:sz="12" w:space="0" w:color="auto"/>
            </w:tcBorders>
            <w:shd w:val="clear" w:color="auto" w:fill="auto"/>
          </w:tcPr>
          <w:p w14:paraId="69B65AF5" w14:textId="77777777" w:rsidR="00BA3472" w:rsidRDefault="00BA3472" w:rsidP="003E0DD1">
            <w:r>
              <w:t xml:space="preserve">Aanspreekbaarheid </w:t>
            </w:r>
            <w:r w:rsidR="003E0DD1">
              <w:t>voor overige belanghebbenden</w:t>
            </w:r>
          </w:p>
        </w:tc>
        <w:tc>
          <w:tcPr>
            <w:tcW w:w="955" w:type="dxa"/>
            <w:tcBorders>
              <w:bottom w:val="single" w:sz="12" w:space="0" w:color="auto"/>
              <w:right w:val="single" w:sz="12" w:space="0" w:color="auto"/>
            </w:tcBorders>
            <w:shd w:val="clear" w:color="auto" w:fill="auto"/>
          </w:tcPr>
          <w:p w14:paraId="7FE334A9" w14:textId="77777777" w:rsidR="00BA3472" w:rsidRDefault="00FB0F33" w:rsidP="00326699">
            <w:r>
              <w:t>4</w:t>
            </w:r>
          </w:p>
        </w:tc>
      </w:tr>
      <w:tr w:rsidR="009A513F" w14:paraId="405B0260" w14:textId="77777777" w:rsidTr="00B06CE6">
        <w:tc>
          <w:tcPr>
            <w:tcW w:w="6912" w:type="dxa"/>
            <w:tcBorders>
              <w:top w:val="single" w:sz="12" w:space="0" w:color="auto"/>
              <w:left w:val="single" w:sz="12" w:space="0" w:color="auto"/>
              <w:bottom w:val="single" w:sz="12" w:space="0" w:color="auto"/>
            </w:tcBorders>
            <w:shd w:val="clear" w:color="auto" w:fill="D0CECE"/>
          </w:tcPr>
          <w:p w14:paraId="41C5BE3E" w14:textId="77777777" w:rsidR="009A513F" w:rsidRPr="00EA0AA8" w:rsidRDefault="009A513F" w:rsidP="00326699">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13CA439F" w14:textId="56CECA10" w:rsidR="009A513F" w:rsidRPr="00EA0AA8" w:rsidRDefault="00167BFC" w:rsidP="00F93389">
            <w:pPr>
              <w:rPr>
                <w:b/>
              </w:rPr>
            </w:pPr>
            <w:r>
              <w:rPr>
                <w:b/>
              </w:rPr>
              <w:t xml:space="preserve">3 </w:t>
            </w:r>
          </w:p>
        </w:tc>
      </w:tr>
    </w:tbl>
    <w:p w14:paraId="42A01D8A" w14:textId="77777777" w:rsidR="009A513F" w:rsidRDefault="009A513F" w:rsidP="00326699"/>
    <w:p w14:paraId="34AB4DF3" w14:textId="264A2EB3" w:rsidR="00F93389" w:rsidRDefault="00F93389" w:rsidP="0002330E">
      <w:pPr>
        <w:ind w:firstLine="227"/>
      </w:pPr>
      <w:r>
        <w:t xml:space="preserve">Verandering sinds 2015: neutraal = </w:t>
      </w:r>
      <w:r w:rsidRPr="00193994">
        <w:sym w:font="Wingdings" w:char="F0E8"/>
      </w:r>
    </w:p>
    <w:p w14:paraId="06EE577B" w14:textId="77777777" w:rsidR="005A1763" w:rsidRDefault="005A1763" w:rsidP="0002330E">
      <w:pPr>
        <w:ind w:firstLine="227"/>
      </w:pPr>
    </w:p>
    <w:p w14:paraId="3024F9B0" w14:textId="77777777" w:rsidR="00CD5427" w:rsidRDefault="00D03A01" w:rsidP="00ED4248">
      <w:pPr>
        <w:pStyle w:val="Heading2"/>
        <w:numPr>
          <w:ilvl w:val="1"/>
          <w:numId w:val="20"/>
        </w:numPr>
        <w:tabs>
          <w:tab w:val="left" w:pos="-1162"/>
          <w:tab w:val="left" w:pos="0"/>
        </w:tabs>
        <w:spacing w:line="240" w:lineRule="auto"/>
        <w:rPr>
          <w:lang w:val="en-US"/>
        </w:rPr>
      </w:pPr>
      <w:r>
        <w:rPr>
          <w:lang w:val="en-US"/>
        </w:rPr>
        <w:lastRenderedPageBreak/>
        <w:t xml:space="preserve"> </w:t>
      </w:r>
      <w:bookmarkStart w:id="47" w:name="_Toc479602607"/>
      <w:r w:rsidR="00473662">
        <w:rPr>
          <w:lang w:val="en-US"/>
        </w:rPr>
        <w:t xml:space="preserve">            </w:t>
      </w:r>
      <w:bookmarkStart w:id="48" w:name="_Toc491442790"/>
      <w:proofErr w:type="spellStart"/>
      <w:r w:rsidR="00032C0E">
        <w:rPr>
          <w:lang w:val="en-US"/>
        </w:rPr>
        <w:t>Resultaatgerichtheid</w:t>
      </w:r>
      <w:proofErr w:type="spellEnd"/>
      <w:r w:rsidR="00032C0E">
        <w:rPr>
          <w:lang w:val="en-US"/>
        </w:rPr>
        <w:t xml:space="preserve"> </w:t>
      </w:r>
      <w:proofErr w:type="spellStart"/>
      <w:r w:rsidR="00032C0E">
        <w:rPr>
          <w:lang w:val="en-US"/>
        </w:rPr>
        <w:t>en</w:t>
      </w:r>
      <w:proofErr w:type="spellEnd"/>
      <w:r w:rsidR="00032C0E">
        <w:rPr>
          <w:lang w:val="en-US"/>
        </w:rPr>
        <w:t xml:space="preserve"> </w:t>
      </w:r>
      <w:proofErr w:type="spellStart"/>
      <w:r w:rsidR="00032C0E">
        <w:rPr>
          <w:lang w:val="en-US"/>
        </w:rPr>
        <w:t>transparantie</w:t>
      </w:r>
      <w:bookmarkEnd w:id="47"/>
      <w:bookmarkEnd w:id="48"/>
      <w:proofErr w:type="spellEnd"/>
    </w:p>
    <w:p w14:paraId="126CD2DA" w14:textId="08A87B54" w:rsidR="00586068" w:rsidRPr="00E257F1" w:rsidRDefault="00125774" w:rsidP="00125774">
      <w:pPr>
        <w:spacing w:line="240" w:lineRule="auto"/>
      </w:pPr>
      <w:r w:rsidRPr="00C04E18">
        <w:t xml:space="preserve">UNODC </w:t>
      </w:r>
      <w:r>
        <w:t xml:space="preserve">is in de periode 2008-2009 begonnen te werken op basis van </w:t>
      </w:r>
      <w:proofErr w:type="spellStart"/>
      <w:r w:rsidRPr="00C04E18">
        <w:rPr>
          <w:i/>
        </w:rPr>
        <w:t>Result</w:t>
      </w:r>
      <w:proofErr w:type="spellEnd"/>
      <w:r w:rsidRPr="00C04E18">
        <w:rPr>
          <w:i/>
        </w:rPr>
        <w:t xml:space="preserve"> </w:t>
      </w:r>
      <w:proofErr w:type="spellStart"/>
      <w:r w:rsidRPr="00C04E18">
        <w:rPr>
          <w:i/>
        </w:rPr>
        <w:t>Based</w:t>
      </w:r>
      <w:proofErr w:type="spellEnd"/>
      <w:r w:rsidRPr="00C04E18">
        <w:rPr>
          <w:i/>
        </w:rPr>
        <w:t xml:space="preserve"> Management </w:t>
      </w:r>
      <w:r>
        <w:t xml:space="preserve">(RBM) en </w:t>
      </w:r>
      <w:proofErr w:type="spellStart"/>
      <w:r w:rsidRPr="00170265">
        <w:rPr>
          <w:i/>
        </w:rPr>
        <w:t>Result</w:t>
      </w:r>
      <w:proofErr w:type="spellEnd"/>
      <w:r w:rsidRPr="00170265">
        <w:rPr>
          <w:i/>
        </w:rPr>
        <w:t xml:space="preserve"> </w:t>
      </w:r>
      <w:proofErr w:type="spellStart"/>
      <w:r w:rsidRPr="00170265">
        <w:rPr>
          <w:i/>
        </w:rPr>
        <w:t>Based</w:t>
      </w:r>
      <w:proofErr w:type="spellEnd"/>
      <w:r w:rsidRPr="00170265">
        <w:rPr>
          <w:i/>
        </w:rPr>
        <w:t xml:space="preserve"> </w:t>
      </w:r>
      <w:proofErr w:type="spellStart"/>
      <w:r w:rsidRPr="00170265">
        <w:rPr>
          <w:i/>
        </w:rPr>
        <w:t>Budgeting</w:t>
      </w:r>
      <w:proofErr w:type="spellEnd"/>
      <w:r>
        <w:t xml:space="preserve"> (RBB) in overeenstemming met AV-resolutie 64/25.</w:t>
      </w:r>
      <w:r w:rsidR="00BB0687">
        <w:t xml:space="preserve"> </w:t>
      </w:r>
      <w:r>
        <w:t>Binnen het</w:t>
      </w:r>
      <w:r w:rsidR="007E6F99">
        <w:t xml:space="preserve"> kader van RBM heeft UNODC haar </w:t>
      </w:r>
      <w:r>
        <w:t xml:space="preserve">effectiviteit en prestaties verbeterd en de coherentie en synergie binnen UNODC en met de rest van het VN-systeem vergroot. </w:t>
      </w:r>
      <w:r w:rsidR="00802242">
        <w:t xml:space="preserve">De Board of Auditors stelt dat </w:t>
      </w:r>
      <w:r w:rsidR="00FE5262">
        <w:t>RBM</w:t>
      </w:r>
      <w:r w:rsidR="00802242">
        <w:t xml:space="preserve"> van UNODC sterk is verbeterd de afgelopen jaren. Er blijft </w:t>
      </w:r>
      <w:r w:rsidR="00621CE4">
        <w:t xml:space="preserve">echter </w:t>
      </w:r>
      <w:r w:rsidR="00802242">
        <w:t>ruimte voor verbetering. Ee</w:t>
      </w:r>
      <w:r w:rsidR="00FE5262">
        <w:t>n punt van commentaar is</w:t>
      </w:r>
      <w:r w:rsidR="00802242">
        <w:t xml:space="preserve"> dat RBM voornamelijk wordt toegepast op de programma’s en projecten</w:t>
      </w:r>
      <w:r w:rsidR="00FE5262">
        <w:t>,</w:t>
      </w:r>
      <w:r w:rsidR="00802242">
        <w:t xml:space="preserve"> maar dat een breder mechanisme om een holistisch overzicht te krijgen van prestaties ten opzichte van bredere strategische doelstellingen ontbreekt. De verbinding tussen geleverde projecten, waarin duidelijk op basis van gewenste resultaten gemanaged en gerapporteerd wordt en de bredere strategische doelstellingen van UNODC kan sterker gelegd worden. Tegelijkertijd is dit deels debet aan de manier waarop de donoren UNODC financieren. </w:t>
      </w:r>
      <w:r w:rsidR="00621CE4">
        <w:t>De voortgangs</w:t>
      </w:r>
      <w:r w:rsidR="00E257F1">
        <w:t>rapporten van de regionale programm</w:t>
      </w:r>
      <w:r w:rsidR="00621CE4">
        <w:t>a’s</w:t>
      </w:r>
      <w:r w:rsidR="005036D2">
        <w:t>,</w:t>
      </w:r>
      <w:r w:rsidR="00621CE4">
        <w:t xml:space="preserve"> die zijn uitgebracht in 2015</w:t>
      </w:r>
      <w:r w:rsidR="005036D2">
        <w:t>,</w:t>
      </w:r>
      <w:r w:rsidR="00621CE4">
        <w:t xml:space="preserve"> zijn sterk gericht op b</w:t>
      </w:r>
      <w:r w:rsidR="00E257F1">
        <w:t xml:space="preserve">ehaalde resultaten. Het jaarrapport van 2015 werd meteen opgevolgd door een </w:t>
      </w:r>
      <w:proofErr w:type="spellStart"/>
      <w:r w:rsidR="00E257F1" w:rsidRPr="003E2377">
        <w:rPr>
          <w:i/>
        </w:rPr>
        <w:t>Annual</w:t>
      </w:r>
      <w:proofErr w:type="spellEnd"/>
      <w:r w:rsidR="00E257F1" w:rsidRPr="003E2377">
        <w:rPr>
          <w:i/>
        </w:rPr>
        <w:t xml:space="preserve"> Appeal</w:t>
      </w:r>
      <w:r w:rsidR="00E257F1">
        <w:rPr>
          <w:i/>
        </w:rPr>
        <w:t xml:space="preserve"> </w:t>
      </w:r>
      <w:r w:rsidR="00E257F1">
        <w:t xml:space="preserve">om een duidelijke link te leggen tussen gehaalde resultaten, ambitie en de bijbehorende toekomstige </w:t>
      </w:r>
      <w:proofErr w:type="spellStart"/>
      <w:r w:rsidR="00E257F1" w:rsidRPr="00E942F5">
        <w:rPr>
          <w:i/>
        </w:rPr>
        <w:t>funding</w:t>
      </w:r>
      <w:proofErr w:type="spellEnd"/>
      <w:r w:rsidR="00E257F1" w:rsidRPr="00E942F5">
        <w:rPr>
          <w:i/>
        </w:rPr>
        <w:t xml:space="preserve"> </w:t>
      </w:r>
      <w:proofErr w:type="spellStart"/>
      <w:r w:rsidR="00E257F1" w:rsidRPr="003E2377">
        <w:rPr>
          <w:i/>
        </w:rPr>
        <w:t>needs</w:t>
      </w:r>
      <w:proofErr w:type="spellEnd"/>
      <w:r w:rsidR="00E257F1">
        <w:t xml:space="preserve">. </w:t>
      </w:r>
    </w:p>
    <w:p w14:paraId="3E88D2C7" w14:textId="77777777" w:rsidR="00402AAE" w:rsidRDefault="00402AAE" w:rsidP="00125774"/>
    <w:p w14:paraId="55D6A839" w14:textId="77777777" w:rsidR="00E257F1" w:rsidRPr="00E257F1" w:rsidRDefault="00E257F1" w:rsidP="00125774">
      <w:r>
        <w:t xml:space="preserve">UNODC heeft in december 2016 toegezegd om in 2017 een </w:t>
      </w:r>
      <w:r w:rsidRPr="001D20C5">
        <w:rPr>
          <w:i/>
        </w:rPr>
        <w:t xml:space="preserve">in </w:t>
      </w:r>
      <w:proofErr w:type="spellStart"/>
      <w:r w:rsidRPr="001D20C5">
        <w:rPr>
          <w:i/>
        </w:rPr>
        <w:t>depth</w:t>
      </w:r>
      <w:proofErr w:type="spellEnd"/>
      <w:r w:rsidR="00621CE4">
        <w:t xml:space="preserve"> evaluatie te doen van de</w:t>
      </w:r>
      <w:r>
        <w:t xml:space="preserve"> </w:t>
      </w:r>
      <w:r w:rsidR="00FE5262" w:rsidRPr="00FE5262">
        <w:t>RBM</w:t>
      </w:r>
      <w:r>
        <w:rPr>
          <w:i/>
        </w:rPr>
        <w:t xml:space="preserve"> </w:t>
      </w:r>
      <w:r>
        <w:t xml:space="preserve">en voor </w:t>
      </w:r>
      <w:r w:rsidR="00FE5262">
        <w:t xml:space="preserve">het einde van het jaar een </w:t>
      </w:r>
      <w:proofErr w:type="spellStart"/>
      <w:r w:rsidR="00CB063E" w:rsidRPr="0075778A">
        <w:rPr>
          <w:i/>
        </w:rPr>
        <w:t>roadmap</w:t>
      </w:r>
      <w:proofErr w:type="spellEnd"/>
      <w:r>
        <w:t xml:space="preserve"> voor verdere verbetering daarvan aan de lidstaten te presenteren. </w:t>
      </w:r>
    </w:p>
    <w:p w14:paraId="5EFA2042" w14:textId="77777777" w:rsidR="00125774" w:rsidRPr="00125774" w:rsidRDefault="00125774" w:rsidP="00125774"/>
    <w:p w14:paraId="1E68AEF2" w14:textId="636B9DB5" w:rsidR="00125774" w:rsidRDefault="00125774" w:rsidP="003E2377">
      <w:pPr>
        <w:autoSpaceDE w:val="0"/>
        <w:autoSpaceDN w:val="0"/>
        <w:adjustRightInd w:val="0"/>
        <w:spacing w:line="240" w:lineRule="auto"/>
        <w:rPr>
          <w:rFonts w:cs="Verdana"/>
          <w:szCs w:val="18"/>
          <w:lang w:eastAsia="ja-JP"/>
        </w:rPr>
      </w:pPr>
      <w:r w:rsidRPr="00553DEE">
        <w:rPr>
          <w:rFonts w:cs="Verdana"/>
          <w:szCs w:val="18"/>
          <w:lang w:eastAsia="ja-JP"/>
        </w:rPr>
        <w:t>De sterke</w:t>
      </w:r>
      <w:r w:rsidR="00802242" w:rsidRPr="00553DEE">
        <w:rPr>
          <w:rFonts w:cs="Verdana"/>
          <w:szCs w:val="18"/>
          <w:lang w:eastAsia="ja-JP"/>
        </w:rPr>
        <w:t xml:space="preserve"> </w:t>
      </w:r>
      <w:r w:rsidRPr="00553DEE">
        <w:rPr>
          <w:rFonts w:cs="Verdana"/>
          <w:szCs w:val="18"/>
          <w:lang w:eastAsia="ja-JP"/>
        </w:rPr>
        <w:t>groei van de projectportefeuille in de afgelopen jaren plaatst de organisatie</w:t>
      </w:r>
      <w:r w:rsidR="00E257F1" w:rsidRPr="00553DEE">
        <w:rPr>
          <w:rFonts w:cs="Verdana"/>
          <w:szCs w:val="18"/>
          <w:lang w:eastAsia="ja-JP"/>
        </w:rPr>
        <w:t xml:space="preserve"> </w:t>
      </w:r>
      <w:r w:rsidRPr="00553DEE">
        <w:rPr>
          <w:rFonts w:cs="Verdana"/>
          <w:szCs w:val="18"/>
          <w:lang w:eastAsia="ja-JP"/>
        </w:rPr>
        <w:t>weliswaar voor uitdagingen in termen van management, planning en continuïteit,</w:t>
      </w:r>
      <w:r w:rsidR="00E257F1" w:rsidRPr="00553DEE">
        <w:rPr>
          <w:rFonts w:cs="Verdana"/>
          <w:szCs w:val="18"/>
          <w:lang w:eastAsia="ja-JP"/>
        </w:rPr>
        <w:t xml:space="preserve"> </w:t>
      </w:r>
      <w:r w:rsidRPr="00553DEE">
        <w:rPr>
          <w:rFonts w:cs="Verdana"/>
          <w:szCs w:val="18"/>
          <w:lang w:eastAsia="ja-JP"/>
        </w:rPr>
        <w:t>maar het vormt tevens een blijk van vertrouwen van donoren in het vermogen van</w:t>
      </w:r>
      <w:r w:rsidR="003E2377" w:rsidRPr="00553DEE">
        <w:rPr>
          <w:rFonts w:cs="Verdana"/>
          <w:szCs w:val="18"/>
          <w:lang w:eastAsia="ja-JP"/>
        </w:rPr>
        <w:t xml:space="preserve"> </w:t>
      </w:r>
      <w:r w:rsidRPr="00553DEE">
        <w:rPr>
          <w:rFonts w:cs="Verdana"/>
          <w:szCs w:val="18"/>
          <w:lang w:eastAsia="ja-JP"/>
        </w:rPr>
        <w:t>UNODC om projecten op een effectieve wijze en met goede resultaten uit te voeren.</w:t>
      </w:r>
      <w:r w:rsidR="00354379">
        <w:rPr>
          <w:rFonts w:cs="Verdana"/>
          <w:szCs w:val="18"/>
          <w:lang w:eastAsia="ja-JP"/>
        </w:rPr>
        <w:t xml:space="preserve"> </w:t>
      </w:r>
      <w:r w:rsidR="00354379" w:rsidRPr="00327C82">
        <w:rPr>
          <w:rFonts w:cs="Verdana"/>
          <w:szCs w:val="18"/>
          <w:lang w:eastAsia="ja-JP"/>
        </w:rPr>
        <w:t xml:space="preserve">Een uitdaging voor UNODC blijft, door de manier van financiering en de afhankelijkheid van </w:t>
      </w:r>
      <w:r w:rsidR="00ED0AAF">
        <w:rPr>
          <w:rFonts w:cs="Verdana"/>
          <w:i/>
          <w:szCs w:val="18"/>
          <w:lang w:eastAsia="ja-JP"/>
        </w:rPr>
        <w:t>non-</w:t>
      </w:r>
      <w:proofErr w:type="spellStart"/>
      <w:r w:rsidR="00ED0AAF">
        <w:rPr>
          <w:rFonts w:cs="Verdana"/>
          <w:i/>
          <w:szCs w:val="18"/>
          <w:lang w:eastAsia="ja-JP"/>
        </w:rPr>
        <w:t>core</w:t>
      </w:r>
      <w:proofErr w:type="spellEnd"/>
      <w:r w:rsidR="00354379" w:rsidRPr="00327C82">
        <w:rPr>
          <w:rFonts w:cs="Verdana"/>
          <w:szCs w:val="18"/>
          <w:lang w:eastAsia="ja-JP"/>
        </w:rPr>
        <w:t xml:space="preserve"> bijdragen, om de projectimplemen</w:t>
      </w:r>
      <w:r w:rsidR="00ED0AAF">
        <w:rPr>
          <w:rFonts w:cs="Verdana"/>
          <w:szCs w:val="18"/>
          <w:lang w:eastAsia="ja-JP"/>
        </w:rPr>
        <w:t>ta</w:t>
      </w:r>
      <w:r w:rsidR="00354379" w:rsidRPr="00327C82">
        <w:rPr>
          <w:rFonts w:cs="Verdana"/>
          <w:szCs w:val="18"/>
          <w:lang w:eastAsia="ja-JP"/>
        </w:rPr>
        <w:t xml:space="preserve">tie en </w:t>
      </w:r>
      <w:r w:rsidR="00EF4239">
        <w:rPr>
          <w:rFonts w:cs="Verdana"/>
          <w:szCs w:val="18"/>
          <w:lang w:eastAsia="ja-JP"/>
        </w:rPr>
        <w:t>-</w:t>
      </w:r>
      <w:r w:rsidR="00354379" w:rsidRPr="00327C82">
        <w:rPr>
          <w:rFonts w:cs="Verdana"/>
          <w:szCs w:val="18"/>
          <w:lang w:eastAsia="ja-JP"/>
        </w:rPr>
        <w:t>resultaten</w:t>
      </w:r>
      <w:r w:rsidR="00621CE4">
        <w:rPr>
          <w:rFonts w:cs="Verdana"/>
          <w:szCs w:val="18"/>
          <w:lang w:eastAsia="ja-JP"/>
        </w:rPr>
        <w:t xml:space="preserve"> goed te koppelen aan de overkoepelende</w:t>
      </w:r>
      <w:r w:rsidR="00354379" w:rsidRPr="00327C82">
        <w:rPr>
          <w:rFonts w:cs="Verdana"/>
          <w:szCs w:val="18"/>
          <w:lang w:eastAsia="ja-JP"/>
        </w:rPr>
        <w:t xml:space="preserve"> strategie.</w:t>
      </w:r>
      <w:r w:rsidR="00354379">
        <w:rPr>
          <w:rFonts w:cs="Verdana"/>
          <w:szCs w:val="18"/>
          <w:lang w:eastAsia="ja-JP"/>
        </w:rPr>
        <w:t xml:space="preserve"> </w:t>
      </w:r>
    </w:p>
    <w:p w14:paraId="1EA0F65E" w14:textId="77777777" w:rsidR="00125774" w:rsidRDefault="00125774" w:rsidP="00125774"/>
    <w:p w14:paraId="5C3C400B" w14:textId="50561EDF" w:rsidR="00D05F6D" w:rsidRDefault="00802242" w:rsidP="003E2377">
      <w:r w:rsidRPr="003E2377">
        <w:t>UN</w:t>
      </w:r>
      <w:r>
        <w:t xml:space="preserve">ODC plaatst de resultaten die behaald </w:t>
      </w:r>
      <w:r w:rsidR="00621CE4">
        <w:t xml:space="preserve">zijn en evaluatie </w:t>
      </w:r>
      <w:r>
        <w:t>door middel van uitgevoerde projecten en progra</w:t>
      </w:r>
      <w:r w:rsidR="00FE5262">
        <w:t>mma’s op haar website en informeert</w:t>
      </w:r>
      <w:r>
        <w:t xml:space="preserve"> de lidstaten hierover mondeling in </w:t>
      </w:r>
      <w:proofErr w:type="spellStart"/>
      <w:r>
        <w:t>FinGov</w:t>
      </w:r>
      <w:proofErr w:type="spellEnd"/>
      <w:r w:rsidR="00EF4239">
        <w:t>-</w:t>
      </w:r>
      <w:r>
        <w:t xml:space="preserve">vergaderingen. </w:t>
      </w:r>
      <w:r w:rsidR="00066605">
        <w:t>Als directeuren van landen- of regiokantoren in Wenen zijn worden briefings georganiseerd waarbij lidstaten op de hoogte worden gebracht van voortgang en resultaten</w:t>
      </w:r>
      <w:r w:rsidR="00D05F6D">
        <w:t xml:space="preserve">. </w:t>
      </w:r>
    </w:p>
    <w:p w14:paraId="3763C9EA" w14:textId="77777777" w:rsidR="00D05F6D" w:rsidRDefault="00D05F6D" w:rsidP="003E2377"/>
    <w:p w14:paraId="4854ED7F" w14:textId="71949BAF" w:rsidR="009F3A49" w:rsidRDefault="009F3A49" w:rsidP="009F3A49">
      <w:r>
        <w:t xml:space="preserve">UNODC rapporteert </w:t>
      </w:r>
      <w:r w:rsidR="008034CA">
        <w:t xml:space="preserve">niet naar IATI </w:t>
      </w:r>
      <w:r w:rsidR="00621CE4">
        <w:t>(</w:t>
      </w:r>
      <w:r w:rsidR="00CB063E" w:rsidRPr="00854342">
        <w:rPr>
          <w:i/>
        </w:rPr>
        <w:t xml:space="preserve">International </w:t>
      </w:r>
      <w:proofErr w:type="spellStart"/>
      <w:r w:rsidR="00CB063E" w:rsidRPr="00854342">
        <w:rPr>
          <w:i/>
        </w:rPr>
        <w:t>Aid</w:t>
      </w:r>
      <w:proofErr w:type="spellEnd"/>
      <w:r w:rsidR="00CB063E" w:rsidRPr="00854342">
        <w:rPr>
          <w:i/>
        </w:rPr>
        <w:t xml:space="preserve"> </w:t>
      </w:r>
      <w:proofErr w:type="spellStart"/>
      <w:r w:rsidR="00CB063E" w:rsidRPr="00854342">
        <w:rPr>
          <w:i/>
        </w:rPr>
        <w:t>Transparency</w:t>
      </w:r>
      <w:proofErr w:type="spellEnd"/>
      <w:r w:rsidR="00CB063E" w:rsidRPr="00854342">
        <w:rPr>
          <w:i/>
        </w:rPr>
        <w:t xml:space="preserve"> </w:t>
      </w:r>
      <w:proofErr w:type="spellStart"/>
      <w:r w:rsidR="00CB063E" w:rsidRPr="00854342">
        <w:rPr>
          <w:i/>
        </w:rPr>
        <w:t>Initiative</w:t>
      </w:r>
      <w:proofErr w:type="spellEnd"/>
      <w:r w:rsidR="00621CE4">
        <w:t xml:space="preserve">) </w:t>
      </w:r>
      <w:r>
        <w:t>standaarden. Het is hiervoor, anders dan de meeste andere VN</w:t>
      </w:r>
      <w:r w:rsidR="00680691">
        <w:t>-</w:t>
      </w:r>
      <w:r>
        <w:t>instellingen, afhankelijk van keuzes van het VN- secretariaat. Deze hebben er voor alsnog voor gekozen om dit niet in te bouwen in het UMOJA</w:t>
      </w:r>
      <w:r w:rsidR="00680691">
        <w:t>-</w:t>
      </w:r>
      <w:r>
        <w:t>reportagesysteem. Er zijn discussies in N</w:t>
      </w:r>
      <w:r w:rsidR="00680691">
        <w:t xml:space="preserve">ew </w:t>
      </w:r>
      <w:r>
        <w:t>Y</w:t>
      </w:r>
      <w:r w:rsidR="00680691">
        <w:t>ork</w:t>
      </w:r>
      <w:r>
        <w:t xml:space="preserve"> om </w:t>
      </w:r>
      <w:r w:rsidR="00680691">
        <w:t xml:space="preserve">dit </w:t>
      </w:r>
      <w:r>
        <w:t>wel te doen in</w:t>
      </w:r>
      <w:r w:rsidR="00680691">
        <w:t xml:space="preserve"> de</w:t>
      </w:r>
      <w:r>
        <w:t xml:space="preserve"> tweede uitrol van dat systeem.</w:t>
      </w:r>
      <w:r w:rsidR="008034CA">
        <w:t xml:space="preserve"> Wat bovendien meespeelt is </w:t>
      </w:r>
      <w:r w:rsidR="00680691">
        <w:t xml:space="preserve">dat </w:t>
      </w:r>
      <w:r w:rsidR="008034CA">
        <w:t>IATI</w:t>
      </w:r>
      <w:r>
        <w:t xml:space="preserve"> inzich</w:t>
      </w:r>
      <w:r w:rsidR="00621CE4">
        <w:t>t geeft in ODA</w:t>
      </w:r>
      <w:r w:rsidR="00680691">
        <w:t>–</w:t>
      </w:r>
      <w:r w:rsidR="00621CE4">
        <w:t>uitgaven</w:t>
      </w:r>
      <w:r w:rsidR="00680691">
        <w:t xml:space="preserve"> en</w:t>
      </w:r>
      <w:r w:rsidR="00621CE4">
        <w:t xml:space="preserve"> UNODC</w:t>
      </w:r>
      <w:r w:rsidR="00680691">
        <w:t>-</w:t>
      </w:r>
      <w:r>
        <w:t xml:space="preserve">financiering komt in principe niet </w:t>
      </w:r>
      <w:r w:rsidR="00680691">
        <w:t xml:space="preserve">uit de </w:t>
      </w:r>
      <w:r>
        <w:t>ODA</w:t>
      </w:r>
      <w:r w:rsidR="00680691">
        <w:t>-</w:t>
      </w:r>
      <w:r>
        <w:t>middelen.</w:t>
      </w:r>
    </w:p>
    <w:p w14:paraId="19226143" w14:textId="77777777" w:rsidR="00E20A86" w:rsidRDefault="00E20A86" w:rsidP="00A13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3"/>
        <w:gridCol w:w="953"/>
      </w:tblGrid>
      <w:tr w:rsidR="00E20A86" w:rsidRPr="00EA0AA8" w14:paraId="497C1257" w14:textId="77777777" w:rsidTr="00B06CE6">
        <w:tc>
          <w:tcPr>
            <w:tcW w:w="6912" w:type="dxa"/>
            <w:tcBorders>
              <w:top w:val="single" w:sz="12" w:space="0" w:color="auto"/>
              <w:left w:val="single" w:sz="12" w:space="0" w:color="auto"/>
              <w:bottom w:val="single" w:sz="12" w:space="0" w:color="auto"/>
            </w:tcBorders>
            <w:shd w:val="clear" w:color="auto" w:fill="D0CECE"/>
          </w:tcPr>
          <w:p w14:paraId="0F40BCD2" w14:textId="77777777" w:rsidR="00E20A86" w:rsidRPr="00EA0AA8" w:rsidRDefault="00E20A86"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5ADA6847" w14:textId="77777777" w:rsidR="00E20A86" w:rsidRPr="00EA0AA8" w:rsidRDefault="00E20A86" w:rsidP="00382AE3">
            <w:pPr>
              <w:rPr>
                <w:b/>
              </w:rPr>
            </w:pPr>
            <w:r w:rsidRPr="00EA0AA8">
              <w:rPr>
                <w:b/>
              </w:rPr>
              <w:t>Score</w:t>
            </w:r>
          </w:p>
        </w:tc>
      </w:tr>
      <w:tr w:rsidR="00E20A86" w14:paraId="30E7A5F9" w14:textId="77777777" w:rsidTr="00382AE3">
        <w:tc>
          <w:tcPr>
            <w:tcW w:w="6912" w:type="dxa"/>
            <w:tcBorders>
              <w:top w:val="single" w:sz="12" w:space="0" w:color="auto"/>
              <w:left w:val="single" w:sz="12" w:space="0" w:color="auto"/>
            </w:tcBorders>
            <w:shd w:val="clear" w:color="auto" w:fill="auto"/>
          </w:tcPr>
          <w:p w14:paraId="7B8EFE4A" w14:textId="77777777" w:rsidR="00E20A86" w:rsidRDefault="00E20A86" w:rsidP="00382AE3">
            <w:r>
              <w:t>RBM en RBB</w:t>
            </w:r>
          </w:p>
        </w:tc>
        <w:tc>
          <w:tcPr>
            <w:tcW w:w="955" w:type="dxa"/>
            <w:tcBorders>
              <w:top w:val="single" w:sz="12" w:space="0" w:color="auto"/>
              <w:right w:val="single" w:sz="12" w:space="0" w:color="auto"/>
            </w:tcBorders>
            <w:shd w:val="clear" w:color="auto" w:fill="auto"/>
          </w:tcPr>
          <w:p w14:paraId="2A767A9C" w14:textId="77777777" w:rsidR="00E20A86" w:rsidRDefault="00621CE4" w:rsidP="00382AE3">
            <w:r>
              <w:t>4</w:t>
            </w:r>
          </w:p>
        </w:tc>
      </w:tr>
      <w:tr w:rsidR="00E20A86" w14:paraId="242F092E" w14:textId="77777777" w:rsidTr="00382AE3">
        <w:tc>
          <w:tcPr>
            <w:tcW w:w="6912" w:type="dxa"/>
            <w:tcBorders>
              <w:left w:val="single" w:sz="12" w:space="0" w:color="auto"/>
            </w:tcBorders>
            <w:shd w:val="clear" w:color="auto" w:fill="auto"/>
          </w:tcPr>
          <w:p w14:paraId="780C3E2D" w14:textId="77777777" w:rsidR="00E20A86" w:rsidRDefault="00E20A86" w:rsidP="00382AE3">
            <w:r>
              <w:t>Inzichtelijk maken resultaten</w:t>
            </w:r>
          </w:p>
        </w:tc>
        <w:tc>
          <w:tcPr>
            <w:tcW w:w="955" w:type="dxa"/>
            <w:tcBorders>
              <w:right w:val="single" w:sz="12" w:space="0" w:color="auto"/>
            </w:tcBorders>
            <w:shd w:val="clear" w:color="auto" w:fill="auto"/>
          </w:tcPr>
          <w:p w14:paraId="01CCAF93" w14:textId="77777777" w:rsidR="00E20A86" w:rsidRDefault="00305814" w:rsidP="00382AE3">
            <w:r>
              <w:t>3</w:t>
            </w:r>
          </w:p>
        </w:tc>
      </w:tr>
      <w:tr w:rsidR="00E20A86" w14:paraId="008579DE" w14:textId="77777777" w:rsidTr="00382AE3">
        <w:tc>
          <w:tcPr>
            <w:tcW w:w="6912" w:type="dxa"/>
            <w:tcBorders>
              <w:left w:val="single" w:sz="12" w:space="0" w:color="auto"/>
            </w:tcBorders>
            <w:shd w:val="clear" w:color="auto" w:fill="auto"/>
          </w:tcPr>
          <w:p w14:paraId="726DE8E4" w14:textId="77777777" w:rsidR="00E20A86" w:rsidRDefault="00E20A86" w:rsidP="00382AE3">
            <w:r>
              <w:t>Inzichtelijk maken allocatie van middelen (o.a. IATI)</w:t>
            </w:r>
          </w:p>
        </w:tc>
        <w:tc>
          <w:tcPr>
            <w:tcW w:w="955" w:type="dxa"/>
            <w:tcBorders>
              <w:right w:val="single" w:sz="12" w:space="0" w:color="auto"/>
            </w:tcBorders>
            <w:shd w:val="clear" w:color="auto" w:fill="auto"/>
          </w:tcPr>
          <w:p w14:paraId="368B8A8E" w14:textId="5AE0285E" w:rsidR="00E20A86" w:rsidRDefault="00323C89" w:rsidP="00382AE3">
            <w:r>
              <w:t>3</w:t>
            </w:r>
          </w:p>
        </w:tc>
      </w:tr>
      <w:tr w:rsidR="00E20A86" w14:paraId="491FF59F" w14:textId="77777777" w:rsidTr="00382AE3">
        <w:tc>
          <w:tcPr>
            <w:tcW w:w="6912" w:type="dxa"/>
            <w:tcBorders>
              <w:left w:val="single" w:sz="12" w:space="0" w:color="auto"/>
              <w:bottom w:val="single" w:sz="12" w:space="0" w:color="auto"/>
            </w:tcBorders>
            <w:shd w:val="clear" w:color="auto" w:fill="auto"/>
          </w:tcPr>
          <w:p w14:paraId="7EB21E15" w14:textId="77777777" w:rsidR="00E20A86" w:rsidRDefault="00E20A86" w:rsidP="00382AE3">
            <w:r>
              <w:t>Communicatie over resultaten</w:t>
            </w:r>
          </w:p>
        </w:tc>
        <w:tc>
          <w:tcPr>
            <w:tcW w:w="955" w:type="dxa"/>
            <w:tcBorders>
              <w:bottom w:val="single" w:sz="12" w:space="0" w:color="auto"/>
              <w:right w:val="single" w:sz="12" w:space="0" w:color="auto"/>
            </w:tcBorders>
            <w:shd w:val="clear" w:color="auto" w:fill="auto"/>
          </w:tcPr>
          <w:p w14:paraId="1CAA397B" w14:textId="77777777" w:rsidR="00E20A86" w:rsidRDefault="00305814" w:rsidP="00382AE3">
            <w:r>
              <w:t>3</w:t>
            </w:r>
          </w:p>
        </w:tc>
      </w:tr>
      <w:tr w:rsidR="00E20A86" w:rsidRPr="00EA0AA8" w14:paraId="0D5A15D3" w14:textId="77777777" w:rsidTr="00B06CE6">
        <w:tc>
          <w:tcPr>
            <w:tcW w:w="6912" w:type="dxa"/>
            <w:tcBorders>
              <w:top w:val="single" w:sz="12" w:space="0" w:color="auto"/>
              <w:left w:val="single" w:sz="12" w:space="0" w:color="auto"/>
              <w:bottom w:val="single" w:sz="12" w:space="0" w:color="auto"/>
            </w:tcBorders>
            <w:shd w:val="clear" w:color="auto" w:fill="D0CECE"/>
          </w:tcPr>
          <w:p w14:paraId="7A72852B" w14:textId="77777777" w:rsidR="00E20A86" w:rsidRPr="00EA0AA8" w:rsidRDefault="00E20A86"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4BAC469C" w14:textId="562AA326" w:rsidR="00E20A86" w:rsidRPr="00EA0AA8" w:rsidRDefault="0025284C" w:rsidP="001B0C39">
            <w:pPr>
              <w:rPr>
                <w:b/>
              </w:rPr>
            </w:pPr>
            <w:r>
              <w:rPr>
                <w:b/>
              </w:rPr>
              <w:t xml:space="preserve">3  </w:t>
            </w:r>
          </w:p>
        </w:tc>
      </w:tr>
    </w:tbl>
    <w:p w14:paraId="1B308BD5" w14:textId="77777777" w:rsidR="00EA26EF" w:rsidRDefault="00EA26EF" w:rsidP="00F74AC4"/>
    <w:p w14:paraId="26CE65A1" w14:textId="77777777" w:rsidR="00F93389" w:rsidRDefault="00F93389" w:rsidP="00A6710B">
      <w:pPr>
        <w:ind w:firstLine="227"/>
      </w:pPr>
      <w:r>
        <w:t xml:space="preserve">Verandering sinds 2015: neutraal = </w:t>
      </w:r>
      <w:r w:rsidRPr="00193994">
        <w:sym w:font="Wingdings" w:char="F0E8"/>
      </w:r>
    </w:p>
    <w:p w14:paraId="5392F5ED" w14:textId="77777777" w:rsidR="00F93389" w:rsidRDefault="00F93389" w:rsidP="00F74AC4"/>
    <w:p w14:paraId="5B0D4811" w14:textId="77777777" w:rsidR="00F366F4" w:rsidRPr="00F366F4" w:rsidRDefault="00473662" w:rsidP="00F366F4">
      <w:pPr>
        <w:pStyle w:val="Heading2"/>
        <w:numPr>
          <w:ilvl w:val="1"/>
          <w:numId w:val="20"/>
        </w:numPr>
        <w:tabs>
          <w:tab w:val="left" w:pos="-1162"/>
          <w:tab w:val="left" w:pos="0"/>
        </w:tabs>
        <w:spacing w:line="240" w:lineRule="auto"/>
        <w:rPr>
          <w:lang w:val="en-US"/>
        </w:rPr>
      </w:pPr>
      <w:bookmarkStart w:id="49" w:name="_Toc479602608"/>
      <w:r>
        <w:lastRenderedPageBreak/>
        <w:t xml:space="preserve">             </w:t>
      </w:r>
      <w:bookmarkStart w:id="50" w:name="_Toc491442791"/>
      <w:r w:rsidR="00F366F4" w:rsidRPr="00A13499">
        <w:t>Partnerschappen</w:t>
      </w:r>
      <w:r w:rsidR="00422948">
        <w:t xml:space="preserve"> en samenwerking</w:t>
      </w:r>
      <w:bookmarkEnd w:id="49"/>
      <w:bookmarkEnd w:id="50"/>
    </w:p>
    <w:p w14:paraId="166C9222" w14:textId="36D4F709" w:rsidR="00E228E1" w:rsidRDefault="00116CCE" w:rsidP="00360449">
      <w:r>
        <w:t>UNODC werkt nauw samen met andere organisaties binnen de VN-familie, multilaterale organisaties, regionale organisaties en overheden.</w:t>
      </w:r>
      <w:r w:rsidR="00360449">
        <w:t xml:space="preserve"> </w:t>
      </w:r>
      <w:r w:rsidR="00456E4F">
        <w:t>De partnerschappen die het aangaat, zijn gericht op de taakuitvoeringen.</w:t>
      </w:r>
      <w:r w:rsidR="00FB0F33">
        <w:t xml:space="preserve"> </w:t>
      </w:r>
      <w:r w:rsidR="00FF4929">
        <w:t xml:space="preserve">Nederland dringt hier ook op aan. </w:t>
      </w:r>
      <w:r w:rsidR="00E228E1">
        <w:t>De strategische eenheid van UNODC, die wordt gefinancier</w:t>
      </w:r>
      <w:r w:rsidR="00621CE4">
        <w:t>d vanuit het regulie</w:t>
      </w:r>
      <w:r w:rsidR="00D82374">
        <w:t>r</w:t>
      </w:r>
      <w:r w:rsidR="00621CE4">
        <w:t>e</w:t>
      </w:r>
      <w:r w:rsidR="00D82374">
        <w:t xml:space="preserve"> budget, is</w:t>
      </w:r>
      <w:r w:rsidR="00E228E1">
        <w:t xml:space="preserve"> klein</w:t>
      </w:r>
      <w:r w:rsidR="00BA32E8">
        <w:t>,</w:t>
      </w:r>
      <w:r w:rsidR="00E228E1">
        <w:t xml:space="preserve"> maar de partnerschappen worden in principe </w:t>
      </w:r>
      <w:r w:rsidR="00D82374">
        <w:t xml:space="preserve">georganiseerd vanuit de beleidsdivisies met ondersteuning vanuit de strategische eenheid. </w:t>
      </w:r>
      <w:r w:rsidR="001D420E">
        <w:t>De afgelopen periode is hier volop in geïnvesteerd en zijn een aantal belangrijke verdragen en partnerschappen afgesloten.</w:t>
      </w:r>
      <w:r w:rsidR="0075778A">
        <w:t xml:space="preserve"> Om die </w:t>
      </w:r>
      <w:r w:rsidR="00E942F5">
        <w:t>reden wordt hierop beter gescoord</w:t>
      </w:r>
      <w:r w:rsidR="0075778A">
        <w:t xml:space="preserve"> dan in 2015. </w:t>
      </w:r>
    </w:p>
    <w:p w14:paraId="73056BB4" w14:textId="77777777" w:rsidR="00D82374" w:rsidRDefault="00D82374" w:rsidP="00360449"/>
    <w:p w14:paraId="72C0663F" w14:textId="33E3E124" w:rsidR="005D2A79" w:rsidRDefault="00FB0F33" w:rsidP="00360449">
      <w:r>
        <w:t xml:space="preserve">Het meest recente formele partnerschap is een </w:t>
      </w:r>
      <w:r w:rsidR="00CB063E" w:rsidRPr="00854342">
        <w:rPr>
          <w:i/>
        </w:rPr>
        <w:t>Memorandum of Understanding</w:t>
      </w:r>
      <w:r>
        <w:t xml:space="preserve"> met de </w:t>
      </w:r>
      <w:r w:rsidR="00A01CA0">
        <w:t>Wereldgezondheidsorganisatie</w:t>
      </w:r>
      <w:r>
        <w:t xml:space="preserve"> (WHO), dat werd getekend in februari 2017 en voor Nederlan</w:t>
      </w:r>
      <w:r w:rsidR="00F974BE">
        <w:t>d een belangrijke stap vooruit is</w:t>
      </w:r>
      <w:r>
        <w:t xml:space="preserve"> in een meer gebalanceerde benadering van het </w:t>
      </w:r>
      <w:r w:rsidRPr="00621CE4">
        <w:rPr>
          <w:u w:val="single"/>
        </w:rPr>
        <w:t>internationale drugsbeleid</w:t>
      </w:r>
      <w:r>
        <w:t xml:space="preserve"> (gezondheid én </w:t>
      </w:r>
      <w:r w:rsidR="00977ECB">
        <w:t>handhaving). Het biedt een raamwerk voor samenwerking op het gebied van preventie, behandeling, toegang tot geneesmiddelen en monitoring van het effect van drugsgebruik op gezondheid en samenleving</w:t>
      </w:r>
      <w:r w:rsidR="00BA32E8">
        <w:t>.</w:t>
      </w:r>
      <w:r w:rsidR="00BB0687">
        <w:t xml:space="preserve"> </w:t>
      </w:r>
      <w:r w:rsidR="009823B8">
        <w:t>Bij het implementeren van projecten in relatie tot drugs</w:t>
      </w:r>
      <w:r w:rsidR="00621CE4">
        <w:t>gebrui</w:t>
      </w:r>
      <w:r w:rsidR="00923CAB">
        <w:t xml:space="preserve">k </w:t>
      </w:r>
      <w:r w:rsidR="00621CE4">
        <w:t>en schrijven</w:t>
      </w:r>
      <w:r w:rsidR="005D2A79">
        <w:t xml:space="preserve"> van richtlijnen</w:t>
      </w:r>
      <w:r w:rsidR="009823B8">
        <w:t xml:space="preserve"> werkt UNODC samen met zowel WHO als UNAIDS.</w:t>
      </w:r>
    </w:p>
    <w:p w14:paraId="5C053C79" w14:textId="2E47613E" w:rsidR="00977ECB" w:rsidRPr="00977ECB" w:rsidRDefault="00977ECB" w:rsidP="00360449">
      <w:r>
        <w:t>Eerder</w:t>
      </w:r>
      <w:r w:rsidR="00360449">
        <w:t xml:space="preserve"> is in </w:t>
      </w:r>
      <w:r w:rsidR="008B5D4A">
        <w:t xml:space="preserve">2011 door de </w:t>
      </w:r>
      <w:r w:rsidR="00E942F5">
        <w:t>Secretaris-Generaal</w:t>
      </w:r>
      <w:r w:rsidR="00B75649">
        <w:t xml:space="preserve"> van de </w:t>
      </w:r>
      <w:r w:rsidR="008B5D4A">
        <w:t xml:space="preserve">VN een VN-brede </w:t>
      </w:r>
      <w:proofErr w:type="spellStart"/>
      <w:r w:rsidR="00E942F5">
        <w:rPr>
          <w:i/>
        </w:rPr>
        <w:t>t</w:t>
      </w:r>
      <w:r w:rsidR="00360449" w:rsidRPr="00E942F5">
        <w:rPr>
          <w:i/>
        </w:rPr>
        <w:t>ask</w:t>
      </w:r>
      <w:proofErr w:type="spellEnd"/>
      <w:r w:rsidR="00360449" w:rsidRPr="00E942F5">
        <w:rPr>
          <w:i/>
        </w:rPr>
        <w:t xml:space="preserve"> </w:t>
      </w:r>
      <w:r w:rsidR="00B75649" w:rsidRPr="00E942F5">
        <w:rPr>
          <w:i/>
        </w:rPr>
        <w:t>f</w:t>
      </w:r>
      <w:r w:rsidR="00360449" w:rsidRPr="00E942F5">
        <w:rPr>
          <w:i/>
        </w:rPr>
        <w:t>orce</w:t>
      </w:r>
      <w:r w:rsidR="00360449">
        <w:t xml:space="preserve"> ingesteld met UNODC en het </w:t>
      </w:r>
      <w:proofErr w:type="spellStart"/>
      <w:r w:rsidR="00CB063E" w:rsidRPr="00854342">
        <w:rPr>
          <w:i/>
        </w:rPr>
        <w:t>Department</w:t>
      </w:r>
      <w:proofErr w:type="spellEnd"/>
      <w:r w:rsidR="00CB063E" w:rsidRPr="00854342">
        <w:rPr>
          <w:i/>
        </w:rPr>
        <w:t xml:space="preserve"> of </w:t>
      </w:r>
      <w:proofErr w:type="spellStart"/>
      <w:r w:rsidR="00CB063E" w:rsidRPr="00854342">
        <w:rPr>
          <w:i/>
        </w:rPr>
        <w:t>Political</w:t>
      </w:r>
      <w:proofErr w:type="spellEnd"/>
      <w:r w:rsidR="00CB063E" w:rsidRPr="00854342">
        <w:rPr>
          <w:i/>
        </w:rPr>
        <w:t xml:space="preserve"> </w:t>
      </w:r>
      <w:proofErr w:type="spellStart"/>
      <w:r w:rsidR="00CB063E" w:rsidRPr="00854342">
        <w:rPr>
          <w:i/>
        </w:rPr>
        <w:t>Affairs</w:t>
      </w:r>
      <w:proofErr w:type="spellEnd"/>
      <w:r w:rsidR="008B5D4A">
        <w:t xml:space="preserve"> te New York </w:t>
      </w:r>
      <w:r w:rsidR="00360449">
        <w:t xml:space="preserve">als </w:t>
      </w:r>
      <w:r w:rsidR="00E942F5">
        <w:t>covoorzitters</w:t>
      </w:r>
      <w:r w:rsidR="00360449">
        <w:t xml:space="preserve">. Deze </w:t>
      </w:r>
      <w:proofErr w:type="spellStart"/>
      <w:r w:rsidR="001F648A">
        <w:rPr>
          <w:i/>
        </w:rPr>
        <w:t>t</w:t>
      </w:r>
      <w:r w:rsidR="00360449" w:rsidRPr="00E942F5">
        <w:rPr>
          <w:i/>
        </w:rPr>
        <w:t>ask</w:t>
      </w:r>
      <w:proofErr w:type="spellEnd"/>
      <w:r w:rsidR="00B75649" w:rsidRPr="00E942F5">
        <w:rPr>
          <w:i/>
        </w:rPr>
        <w:t xml:space="preserve"> </w:t>
      </w:r>
      <w:r w:rsidR="001F648A">
        <w:rPr>
          <w:i/>
        </w:rPr>
        <w:t>f</w:t>
      </w:r>
      <w:r w:rsidR="00360449" w:rsidRPr="00E942F5">
        <w:rPr>
          <w:i/>
        </w:rPr>
        <w:t>orce</w:t>
      </w:r>
      <w:r w:rsidR="00360449">
        <w:t xml:space="preserve"> beoogt de b</w:t>
      </w:r>
      <w:r w:rsidR="008B5D4A">
        <w:t xml:space="preserve">estrijding van criminaliteit te </w:t>
      </w:r>
      <w:r w:rsidR="00360449">
        <w:t>integreren in de activiteiten van de VN op</w:t>
      </w:r>
      <w:r w:rsidR="008B5D4A">
        <w:t xml:space="preserve"> het gebied van vredesbewaring, </w:t>
      </w:r>
      <w:r w:rsidR="00360449">
        <w:t>vredesopbouw en ontwikkeling.</w:t>
      </w:r>
      <w:r>
        <w:t xml:space="preserve"> </w:t>
      </w:r>
      <w:r w:rsidRPr="00923CAB">
        <w:rPr>
          <w:color w:val="000000" w:themeColor="text1"/>
        </w:rPr>
        <w:t>In aanloop naar de UNGASS</w:t>
      </w:r>
      <w:r w:rsidR="001F648A">
        <w:rPr>
          <w:color w:val="000000" w:themeColor="text1"/>
        </w:rPr>
        <w:t xml:space="preserve"> in 2016 is het mandaat van de </w:t>
      </w:r>
      <w:proofErr w:type="spellStart"/>
      <w:r w:rsidR="001F648A" w:rsidRPr="001F648A">
        <w:rPr>
          <w:i/>
          <w:color w:val="000000" w:themeColor="text1"/>
        </w:rPr>
        <w:t>t</w:t>
      </w:r>
      <w:r w:rsidRPr="001F648A">
        <w:rPr>
          <w:i/>
          <w:color w:val="000000" w:themeColor="text1"/>
        </w:rPr>
        <w:t>ask</w:t>
      </w:r>
      <w:proofErr w:type="spellEnd"/>
      <w:r w:rsidR="009A25BF" w:rsidRPr="001F648A">
        <w:rPr>
          <w:i/>
          <w:color w:val="000000" w:themeColor="text1"/>
        </w:rPr>
        <w:t xml:space="preserve"> </w:t>
      </w:r>
      <w:r w:rsidRPr="001F648A">
        <w:rPr>
          <w:i/>
          <w:color w:val="000000" w:themeColor="text1"/>
        </w:rPr>
        <w:t>force</w:t>
      </w:r>
      <w:r w:rsidRPr="00923CAB">
        <w:rPr>
          <w:color w:val="000000" w:themeColor="text1"/>
        </w:rPr>
        <w:t xml:space="preserve"> uitgebreid</w:t>
      </w:r>
      <w:r w:rsidR="00377331" w:rsidRPr="00923CAB">
        <w:rPr>
          <w:color w:val="000000" w:themeColor="text1"/>
        </w:rPr>
        <w:t xml:space="preserve"> ten opzichte van </w:t>
      </w:r>
      <w:r w:rsidR="00923CAB" w:rsidRPr="00923CAB">
        <w:rPr>
          <w:color w:val="000000" w:themeColor="text1"/>
        </w:rPr>
        <w:t>het oorspronkelijke mandaat</w:t>
      </w:r>
      <w:r w:rsidR="009A25BF">
        <w:rPr>
          <w:color w:val="000000" w:themeColor="text1"/>
        </w:rPr>
        <w:t>,</w:t>
      </w:r>
      <w:r w:rsidR="00923CAB" w:rsidRPr="00923CAB">
        <w:rPr>
          <w:color w:val="000000" w:themeColor="text1"/>
        </w:rPr>
        <w:t xml:space="preserve"> dat </w:t>
      </w:r>
      <w:r w:rsidR="00377331" w:rsidRPr="00923CAB">
        <w:rPr>
          <w:color w:val="000000" w:themeColor="text1"/>
        </w:rPr>
        <w:t>alleen de georganiseerde misdaad</w:t>
      </w:r>
      <w:r w:rsidR="00923CAB" w:rsidRPr="00923CAB">
        <w:rPr>
          <w:color w:val="000000" w:themeColor="text1"/>
        </w:rPr>
        <w:t xml:space="preserve"> en </w:t>
      </w:r>
      <w:proofErr w:type="spellStart"/>
      <w:r w:rsidR="00923CAB" w:rsidRPr="00923CAB">
        <w:rPr>
          <w:i/>
          <w:color w:val="000000" w:themeColor="text1"/>
        </w:rPr>
        <w:t>supply</w:t>
      </w:r>
      <w:proofErr w:type="spellEnd"/>
      <w:r w:rsidR="00923CAB" w:rsidRPr="00923CAB">
        <w:rPr>
          <w:i/>
          <w:color w:val="000000" w:themeColor="text1"/>
        </w:rPr>
        <w:t xml:space="preserve"> </w:t>
      </w:r>
      <w:proofErr w:type="spellStart"/>
      <w:r w:rsidR="00923CAB" w:rsidRPr="00923CAB">
        <w:rPr>
          <w:i/>
          <w:color w:val="000000" w:themeColor="text1"/>
        </w:rPr>
        <w:t>reduction</w:t>
      </w:r>
      <w:proofErr w:type="spellEnd"/>
      <w:r w:rsidR="00923CAB" w:rsidRPr="00923CAB">
        <w:rPr>
          <w:i/>
          <w:color w:val="000000" w:themeColor="text1"/>
        </w:rPr>
        <w:t xml:space="preserve"> </w:t>
      </w:r>
      <w:r w:rsidR="00923CAB" w:rsidRPr="00923CAB">
        <w:rPr>
          <w:color w:val="000000" w:themeColor="text1"/>
        </w:rPr>
        <w:t xml:space="preserve">kant van het drugsprobleem omvatte. </w:t>
      </w:r>
      <w:r w:rsidR="0075778A">
        <w:rPr>
          <w:color w:val="000000" w:themeColor="text1"/>
        </w:rPr>
        <w:t xml:space="preserve">Ook WHO, </w:t>
      </w:r>
      <w:r w:rsidRPr="00923CAB">
        <w:rPr>
          <w:color w:val="000000" w:themeColor="text1"/>
        </w:rPr>
        <w:t>WHO, UNAIDS en UN</w:t>
      </w:r>
      <w:r w:rsidR="0075778A">
        <w:rPr>
          <w:color w:val="000000" w:themeColor="text1"/>
        </w:rPr>
        <w:t>-</w:t>
      </w:r>
      <w:proofErr w:type="spellStart"/>
      <w:r w:rsidRPr="00923CAB">
        <w:rPr>
          <w:color w:val="000000" w:themeColor="text1"/>
        </w:rPr>
        <w:t>Women</w:t>
      </w:r>
      <w:proofErr w:type="spellEnd"/>
      <w:r w:rsidRPr="00923CAB">
        <w:rPr>
          <w:color w:val="000000" w:themeColor="text1"/>
        </w:rPr>
        <w:t xml:space="preserve"> </w:t>
      </w:r>
      <w:r w:rsidR="0075778A">
        <w:rPr>
          <w:color w:val="000000" w:themeColor="text1"/>
        </w:rPr>
        <w:t>sloten zich aan</w:t>
      </w:r>
      <w:r w:rsidR="001F648A">
        <w:rPr>
          <w:color w:val="000000" w:themeColor="text1"/>
        </w:rPr>
        <w:t xml:space="preserve"> bij de </w:t>
      </w:r>
      <w:proofErr w:type="spellStart"/>
      <w:r w:rsidR="001F648A" w:rsidRPr="001F648A">
        <w:rPr>
          <w:i/>
          <w:color w:val="000000" w:themeColor="text1"/>
        </w:rPr>
        <w:t>t</w:t>
      </w:r>
      <w:r w:rsidR="00307A15" w:rsidRPr="001F648A">
        <w:rPr>
          <w:i/>
          <w:color w:val="000000" w:themeColor="text1"/>
        </w:rPr>
        <w:t>ask</w:t>
      </w:r>
      <w:proofErr w:type="spellEnd"/>
      <w:r w:rsidR="009A25BF" w:rsidRPr="001F648A">
        <w:rPr>
          <w:i/>
          <w:color w:val="000000" w:themeColor="text1"/>
        </w:rPr>
        <w:t xml:space="preserve"> </w:t>
      </w:r>
      <w:r w:rsidR="00307A15" w:rsidRPr="001F648A">
        <w:rPr>
          <w:i/>
          <w:color w:val="000000" w:themeColor="text1"/>
        </w:rPr>
        <w:t>force</w:t>
      </w:r>
      <w:r w:rsidR="00923CAB" w:rsidRPr="00923CAB">
        <w:rPr>
          <w:color w:val="000000" w:themeColor="text1"/>
        </w:rPr>
        <w:t xml:space="preserve"> en werd het drugsbeleid</w:t>
      </w:r>
      <w:r w:rsidR="00923CAB">
        <w:rPr>
          <w:color w:val="000000" w:themeColor="text1"/>
        </w:rPr>
        <w:t xml:space="preserve"> in den brede onderdeel van het mandaat</w:t>
      </w:r>
      <w:r w:rsidR="001F648A">
        <w:t xml:space="preserve">. Op dit moment is de </w:t>
      </w:r>
      <w:proofErr w:type="spellStart"/>
      <w:r w:rsidR="001F648A" w:rsidRPr="001F648A">
        <w:rPr>
          <w:i/>
        </w:rPr>
        <w:t>t</w:t>
      </w:r>
      <w:r w:rsidRPr="001F648A">
        <w:rPr>
          <w:i/>
        </w:rPr>
        <w:t>ask</w:t>
      </w:r>
      <w:proofErr w:type="spellEnd"/>
      <w:r w:rsidR="009A25BF" w:rsidRPr="001F648A">
        <w:rPr>
          <w:i/>
        </w:rPr>
        <w:t xml:space="preserve"> </w:t>
      </w:r>
      <w:r w:rsidRPr="001F648A">
        <w:rPr>
          <w:i/>
        </w:rPr>
        <w:t>force</w:t>
      </w:r>
      <w:r>
        <w:t xml:space="preserve"> niet actief maar door de lidstaten wordt gesproken hoe </w:t>
      </w:r>
      <w:r w:rsidR="001F648A">
        <w:t xml:space="preserve">en of aan de </w:t>
      </w:r>
      <w:proofErr w:type="spellStart"/>
      <w:r w:rsidR="001F648A" w:rsidRPr="001F648A">
        <w:rPr>
          <w:i/>
        </w:rPr>
        <w:t>t</w:t>
      </w:r>
      <w:r w:rsidR="0074001C" w:rsidRPr="001F648A">
        <w:rPr>
          <w:i/>
        </w:rPr>
        <w:t>ask</w:t>
      </w:r>
      <w:proofErr w:type="spellEnd"/>
      <w:r w:rsidR="009A25BF" w:rsidRPr="001F648A">
        <w:rPr>
          <w:i/>
        </w:rPr>
        <w:t xml:space="preserve"> </w:t>
      </w:r>
      <w:r w:rsidR="0074001C" w:rsidRPr="001F648A">
        <w:rPr>
          <w:i/>
        </w:rPr>
        <w:t>force</w:t>
      </w:r>
      <w:r w:rsidR="0074001C">
        <w:t xml:space="preserve"> verder invulling gegeven kan worden. </w:t>
      </w:r>
    </w:p>
    <w:p w14:paraId="2539BA00" w14:textId="77777777" w:rsidR="00977ECB" w:rsidRPr="0074001C" w:rsidRDefault="00360449" w:rsidP="00360449">
      <w:r w:rsidRPr="0074001C">
        <w:t xml:space="preserve"> </w:t>
      </w:r>
    </w:p>
    <w:p w14:paraId="18D6F2D3" w14:textId="7D4C34B1" w:rsidR="00116CCE" w:rsidRDefault="00360449" w:rsidP="00360449">
      <w:r>
        <w:t>Voor de bestrijdi</w:t>
      </w:r>
      <w:r w:rsidR="008B5D4A">
        <w:t xml:space="preserve">ng van </w:t>
      </w:r>
      <w:r w:rsidR="008B5D4A" w:rsidRPr="001D420E">
        <w:rPr>
          <w:u w:val="single"/>
        </w:rPr>
        <w:t>mensenhandel</w:t>
      </w:r>
      <w:r w:rsidR="008B5D4A">
        <w:t xml:space="preserve"> is eveneens </w:t>
      </w:r>
      <w:r>
        <w:t>een VN-coördinatieorgaan in het leven geroe</w:t>
      </w:r>
      <w:r w:rsidR="008B5D4A">
        <w:t xml:space="preserve">pen, dat wordt voorgezeten door </w:t>
      </w:r>
      <w:r>
        <w:t>UNODC met deelname van OHCHR, ILO, UNICEF</w:t>
      </w:r>
      <w:r w:rsidR="00FF4929">
        <w:t xml:space="preserve"> en</w:t>
      </w:r>
      <w:r>
        <w:t xml:space="preserve"> </w:t>
      </w:r>
      <w:r w:rsidR="008B5D4A">
        <w:t>het secretariaat in New York</w:t>
      </w:r>
      <w:r w:rsidR="00FF4929">
        <w:t xml:space="preserve">. </w:t>
      </w:r>
      <w:r w:rsidR="0074001C">
        <w:t>UNODC coördineert het rapport van de S</w:t>
      </w:r>
      <w:r w:rsidR="009A25BF">
        <w:t xml:space="preserve">ecretaris </w:t>
      </w:r>
      <w:r w:rsidR="0074001C">
        <w:t>G</w:t>
      </w:r>
      <w:r w:rsidR="009A25BF">
        <w:t xml:space="preserve">eneraal van de </w:t>
      </w:r>
      <w:r w:rsidR="0074001C">
        <w:t>VN over de implementatie van de gemaakte afspraken om mensenhandel tegen te gaan.</w:t>
      </w:r>
      <w:r>
        <w:t xml:space="preserve"> Op het gebied van de </w:t>
      </w:r>
      <w:r w:rsidRPr="001D420E">
        <w:rPr>
          <w:u w:val="single"/>
        </w:rPr>
        <w:t>criminaliteitsbest</w:t>
      </w:r>
      <w:r w:rsidR="008B5D4A" w:rsidRPr="001D420E">
        <w:rPr>
          <w:u w:val="single"/>
        </w:rPr>
        <w:t>rijding</w:t>
      </w:r>
      <w:r w:rsidR="008B5D4A">
        <w:t xml:space="preserve"> wordt goed samengewerkt </w:t>
      </w:r>
      <w:r>
        <w:t xml:space="preserve">met Interpol en Europol. Bij de opbouw van </w:t>
      </w:r>
      <w:r w:rsidR="007470FB">
        <w:t xml:space="preserve">het </w:t>
      </w:r>
      <w:r>
        <w:t>politie</w:t>
      </w:r>
      <w:r w:rsidR="007470FB">
        <w:t xml:space="preserve">-  en </w:t>
      </w:r>
      <w:r w:rsidR="008B5D4A">
        <w:t>justiti</w:t>
      </w:r>
      <w:r w:rsidR="007470FB">
        <w:t>ële apparaat</w:t>
      </w:r>
      <w:r w:rsidR="008B5D4A">
        <w:t xml:space="preserve"> in </w:t>
      </w:r>
      <w:r>
        <w:t>ontwikkelingslanden werken de regionale en lan</w:t>
      </w:r>
      <w:r w:rsidR="008B5D4A">
        <w:t xml:space="preserve">denkantoren van UNODC vaak nauw </w:t>
      </w:r>
      <w:r>
        <w:t>samen met UNDP. Op het terrein van terrorismebest</w:t>
      </w:r>
      <w:r w:rsidR="008B5D4A">
        <w:t xml:space="preserve">rijding ligt het zwaartepunt in </w:t>
      </w:r>
      <w:r>
        <w:t>New York (CTC en CTED) en verricht UNODC deeltaken</w:t>
      </w:r>
      <w:r w:rsidR="00456E4F">
        <w:t>.</w:t>
      </w:r>
    </w:p>
    <w:p w14:paraId="2126E3FE" w14:textId="77777777" w:rsidR="00360449" w:rsidRDefault="00360449" w:rsidP="00892EBA"/>
    <w:p w14:paraId="54E0F683" w14:textId="4006EB9B" w:rsidR="0074001C" w:rsidRPr="003E2377" w:rsidRDefault="00946ADC" w:rsidP="003E2377">
      <w:pPr>
        <w:spacing w:line="240" w:lineRule="auto"/>
        <w:rPr>
          <w:lang w:val="en-US"/>
        </w:rPr>
      </w:pPr>
      <w:r>
        <w:t xml:space="preserve">Lidstaten, waaronder Nederland, dringen er bij UNODC op aan om goed aan te sluiten bij de rest van het VN–systeem. Dat lukt steeds beter. </w:t>
      </w:r>
      <w:r w:rsidR="0074001C">
        <w:t xml:space="preserve">Bij de afgelopen </w:t>
      </w:r>
      <w:proofErr w:type="spellStart"/>
      <w:r w:rsidR="00CB063E" w:rsidRPr="0075778A">
        <w:rPr>
          <w:i/>
        </w:rPr>
        <w:t>Commission</w:t>
      </w:r>
      <w:proofErr w:type="spellEnd"/>
      <w:r w:rsidR="00CB063E" w:rsidRPr="0075778A">
        <w:rPr>
          <w:i/>
        </w:rPr>
        <w:t xml:space="preserve"> on </w:t>
      </w:r>
      <w:proofErr w:type="spellStart"/>
      <w:r w:rsidR="00CB063E" w:rsidRPr="0075778A">
        <w:rPr>
          <w:i/>
        </w:rPr>
        <w:t>Narcotic</w:t>
      </w:r>
      <w:proofErr w:type="spellEnd"/>
      <w:r w:rsidR="00CB063E" w:rsidRPr="0075778A">
        <w:rPr>
          <w:i/>
        </w:rPr>
        <w:t xml:space="preserve"> Drugs</w:t>
      </w:r>
      <w:r w:rsidR="0074001C">
        <w:t xml:space="preserve"> (maart 2017) was de WHO op het hoogste niveau vertegenwoordigd, daarnaast waren UNAIDS, UNDP,</w:t>
      </w:r>
      <w:r>
        <w:t xml:space="preserve"> </w:t>
      </w:r>
      <w:r w:rsidRPr="001F648A">
        <w:rPr>
          <w:i/>
        </w:rPr>
        <w:t>D</w:t>
      </w:r>
      <w:r w:rsidR="0075778A" w:rsidRPr="001F648A">
        <w:rPr>
          <w:i/>
        </w:rPr>
        <w:t xml:space="preserve">rugs </w:t>
      </w:r>
      <w:proofErr w:type="spellStart"/>
      <w:r w:rsidRPr="001F648A">
        <w:rPr>
          <w:i/>
        </w:rPr>
        <w:t>P</w:t>
      </w:r>
      <w:r w:rsidR="0075778A" w:rsidRPr="001F648A">
        <w:rPr>
          <w:i/>
        </w:rPr>
        <w:t>olice</w:t>
      </w:r>
      <w:proofErr w:type="spellEnd"/>
      <w:r w:rsidR="0075778A" w:rsidRPr="001F648A">
        <w:rPr>
          <w:i/>
        </w:rPr>
        <w:t xml:space="preserve"> </w:t>
      </w:r>
      <w:r w:rsidRPr="001F648A">
        <w:rPr>
          <w:i/>
        </w:rPr>
        <w:t>A</w:t>
      </w:r>
      <w:r w:rsidR="0075778A" w:rsidRPr="001F648A">
        <w:rPr>
          <w:i/>
        </w:rPr>
        <w:t>gency</w:t>
      </w:r>
      <w:r>
        <w:t xml:space="preserve"> en</w:t>
      </w:r>
      <w:r w:rsidR="0074001C">
        <w:t xml:space="preserve"> </w:t>
      </w:r>
      <w:r>
        <w:t xml:space="preserve">de </w:t>
      </w:r>
      <w:r w:rsidRPr="001F648A">
        <w:rPr>
          <w:i/>
        </w:rPr>
        <w:t>I</w:t>
      </w:r>
      <w:r w:rsidR="0075778A" w:rsidRPr="001F648A">
        <w:rPr>
          <w:i/>
        </w:rPr>
        <w:t xml:space="preserve">nternational </w:t>
      </w:r>
      <w:proofErr w:type="spellStart"/>
      <w:r w:rsidRPr="001F648A">
        <w:rPr>
          <w:i/>
        </w:rPr>
        <w:t>N</w:t>
      </w:r>
      <w:r w:rsidR="0075778A" w:rsidRPr="001F648A">
        <w:rPr>
          <w:i/>
        </w:rPr>
        <w:t>arcotics</w:t>
      </w:r>
      <w:proofErr w:type="spellEnd"/>
      <w:r w:rsidR="0075778A" w:rsidRPr="001F648A">
        <w:rPr>
          <w:i/>
        </w:rPr>
        <w:t xml:space="preserve"> </w:t>
      </w:r>
      <w:r w:rsidRPr="001F648A">
        <w:rPr>
          <w:i/>
        </w:rPr>
        <w:t>C</w:t>
      </w:r>
      <w:r w:rsidR="0075778A" w:rsidRPr="001F648A">
        <w:rPr>
          <w:i/>
        </w:rPr>
        <w:t xml:space="preserve">ontrol </w:t>
      </w:r>
      <w:r w:rsidRPr="001F648A">
        <w:rPr>
          <w:i/>
        </w:rPr>
        <w:t>B</w:t>
      </w:r>
      <w:r w:rsidR="0075778A" w:rsidRPr="001F648A">
        <w:rPr>
          <w:i/>
        </w:rPr>
        <w:t>oard</w:t>
      </w:r>
      <w:r w:rsidR="00E228E1">
        <w:t xml:space="preserve"> aanwezig. </w:t>
      </w:r>
      <w:r>
        <w:br/>
        <w:t>Eind 2016 faciliteerde UNOD</w:t>
      </w:r>
      <w:r w:rsidR="000447BD">
        <w:t>C</w:t>
      </w:r>
      <w:r w:rsidR="001D420E">
        <w:t xml:space="preserve"> een </w:t>
      </w:r>
      <w:r w:rsidR="001D420E" w:rsidRPr="001D420E">
        <w:rPr>
          <w:i/>
        </w:rPr>
        <w:t>Special E</w:t>
      </w:r>
      <w:r w:rsidRPr="001D420E">
        <w:rPr>
          <w:i/>
        </w:rPr>
        <w:t>vent</w:t>
      </w:r>
      <w:r>
        <w:t xml:space="preserve"> tussen de CND en de voorzitter van de </w:t>
      </w:r>
      <w:proofErr w:type="spellStart"/>
      <w:r w:rsidR="00CB063E" w:rsidRPr="0075778A">
        <w:rPr>
          <w:i/>
        </w:rPr>
        <w:t>Commission</w:t>
      </w:r>
      <w:proofErr w:type="spellEnd"/>
      <w:r w:rsidR="00CB063E" w:rsidRPr="0075778A">
        <w:rPr>
          <w:i/>
        </w:rPr>
        <w:t xml:space="preserve"> on the Status of </w:t>
      </w:r>
      <w:proofErr w:type="spellStart"/>
      <w:r w:rsidR="00CB063E" w:rsidRPr="0075778A">
        <w:rPr>
          <w:i/>
        </w:rPr>
        <w:t>Women</w:t>
      </w:r>
      <w:proofErr w:type="spellEnd"/>
      <w:r>
        <w:t xml:space="preserve"> en een event met de voorzitter van de AVVN om verdere coherentie te stimuleren.</w:t>
      </w:r>
      <w:r w:rsidRPr="0080231A">
        <w:rPr>
          <w:szCs w:val="18"/>
        </w:rPr>
        <w:t xml:space="preserve"> </w:t>
      </w:r>
      <w:proofErr w:type="spellStart"/>
      <w:r w:rsidR="00110DC0" w:rsidRPr="003E2377">
        <w:rPr>
          <w:szCs w:val="18"/>
          <w:lang w:val="en-US"/>
        </w:rPr>
        <w:t>Ook</w:t>
      </w:r>
      <w:proofErr w:type="spellEnd"/>
      <w:r w:rsidR="00110DC0" w:rsidRPr="003E2377">
        <w:rPr>
          <w:szCs w:val="18"/>
          <w:lang w:val="en-US"/>
        </w:rPr>
        <w:t xml:space="preserve"> </w:t>
      </w:r>
      <w:proofErr w:type="spellStart"/>
      <w:r w:rsidR="00110DC0" w:rsidRPr="003E2377">
        <w:rPr>
          <w:szCs w:val="18"/>
          <w:lang w:val="en-US"/>
        </w:rPr>
        <w:t>neemt</w:t>
      </w:r>
      <w:proofErr w:type="spellEnd"/>
      <w:r w:rsidR="00110DC0" w:rsidRPr="003E2377">
        <w:rPr>
          <w:szCs w:val="18"/>
          <w:lang w:val="en-US"/>
        </w:rPr>
        <w:t xml:space="preserve"> UN</w:t>
      </w:r>
      <w:r w:rsidR="0080231A" w:rsidRPr="003E2377">
        <w:rPr>
          <w:szCs w:val="18"/>
          <w:lang w:val="en-US"/>
        </w:rPr>
        <w:t xml:space="preserve">ODC </w:t>
      </w:r>
      <w:proofErr w:type="spellStart"/>
      <w:r w:rsidR="0080231A" w:rsidRPr="003E2377">
        <w:rPr>
          <w:szCs w:val="18"/>
          <w:lang w:val="en-US"/>
        </w:rPr>
        <w:t>deel</w:t>
      </w:r>
      <w:proofErr w:type="spellEnd"/>
      <w:r w:rsidR="0080231A" w:rsidRPr="003E2377">
        <w:rPr>
          <w:szCs w:val="18"/>
          <w:lang w:val="en-US"/>
        </w:rPr>
        <w:t xml:space="preserve"> </w:t>
      </w:r>
      <w:proofErr w:type="spellStart"/>
      <w:r w:rsidR="0080231A" w:rsidRPr="003E2377">
        <w:rPr>
          <w:szCs w:val="18"/>
          <w:lang w:val="en-US"/>
        </w:rPr>
        <w:t>aan</w:t>
      </w:r>
      <w:proofErr w:type="spellEnd"/>
      <w:r w:rsidR="0080231A" w:rsidRPr="003E2377">
        <w:rPr>
          <w:szCs w:val="18"/>
          <w:lang w:val="en-US"/>
        </w:rPr>
        <w:t xml:space="preserve"> het </w:t>
      </w:r>
      <w:r w:rsidR="00CB063E" w:rsidRPr="0075778A">
        <w:rPr>
          <w:rFonts w:cs="Tahoma"/>
          <w:i/>
          <w:szCs w:val="18"/>
          <w:shd w:val="clear" w:color="auto" w:fill="FFFFFF"/>
          <w:lang w:val="en-US"/>
        </w:rPr>
        <w:t>UN System-wide Action Plan on Gender Equality and the Empowerment of Women</w:t>
      </w:r>
      <w:r w:rsidR="0080231A" w:rsidRPr="003E2377">
        <w:rPr>
          <w:rFonts w:cs="Tahoma"/>
          <w:szCs w:val="18"/>
          <w:shd w:val="clear" w:color="auto" w:fill="FFFFFF"/>
          <w:lang w:val="en-US"/>
        </w:rPr>
        <w:t xml:space="preserve"> (UN-SWAP). </w:t>
      </w:r>
    </w:p>
    <w:p w14:paraId="1290E049" w14:textId="77777777" w:rsidR="0074001C" w:rsidRPr="003E2377" w:rsidRDefault="0074001C" w:rsidP="00892EBA">
      <w:pPr>
        <w:rPr>
          <w:lang w:val="en-US"/>
        </w:rPr>
      </w:pPr>
    </w:p>
    <w:p w14:paraId="16E13474" w14:textId="743F469B" w:rsidR="00456E4F" w:rsidRDefault="00892EBA" w:rsidP="00456E4F">
      <w:r>
        <w:t>De samenwerking met de EU is cruciaal</w:t>
      </w:r>
      <w:r w:rsidR="00360449">
        <w:t xml:space="preserve"> voor UNODC</w:t>
      </w:r>
      <w:r>
        <w:t xml:space="preserve">. </w:t>
      </w:r>
      <w:r w:rsidR="00360449">
        <w:t>In 2015 was de EU een van de grootste</w:t>
      </w:r>
      <w:r>
        <w:t xml:space="preserve"> donoren van het UNODC. S</w:t>
      </w:r>
      <w:r w:rsidR="00B802D8">
        <w:t>amen met de EU</w:t>
      </w:r>
      <w:r w:rsidR="0078783E">
        <w:t>-</w:t>
      </w:r>
      <w:r w:rsidR="00B802D8">
        <w:t>lidstaten, zorgde de EU voor een de</w:t>
      </w:r>
      <w:r w:rsidR="00360449">
        <w:t>rde van het totale budget van</w:t>
      </w:r>
      <w:r w:rsidR="00B802D8">
        <w:t xml:space="preserve"> UNODC. </w:t>
      </w:r>
      <w:r w:rsidR="00C82D58">
        <w:t xml:space="preserve">Vanaf 2016 is er na het tekenen van </w:t>
      </w:r>
      <w:r w:rsidR="00946ADC">
        <w:t>de verklaring van</w:t>
      </w:r>
      <w:r w:rsidR="00C82D58">
        <w:t xml:space="preserve"> </w:t>
      </w:r>
      <w:r w:rsidR="0078783E">
        <w:t xml:space="preserve">Doha </w:t>
      </w:r>
      <w:r w:rsidR="00C82D58">
        <w:t>ook een intensievere samenwerking met Qatar.</w:t>
      </w:r>
      <w:r w:rsidR="00456E4F" w:rsidRPr="00456E4F">
        <w:t xml:space="preserve"> </w:t>
      </w:r>
    </w:p>
    <w:p w14:paraId="3FEBC4C3" w14:textId="77777777" w:rsidR="00E228E1" w:rsidRDefault="00E228E1" w:rsidP="00456E4F"/>
    <w:p w14:paraId="5EE0D536" w14:textId="73F9C3B2" w:rsidR="00456E4F" w:rsidRDefault="00456E4F" w:rsidP="00456E4F">
      <w:r>
        <w:t>Omdat het uitvoerende werk van de UNODC in</w:t>
      </w:r>
      <w:r w:rsidR="005D2A79">
        <w:t xml:space="preserve"> landen zelf plaatsvindt, gaat UNODC ook</w:t>
      </w:r>
      <w:r>
        <w:t xml:space="preserve"> </w:t>
      </w:r>
      <w:r w:rsidR="00834721">
        <w:t>partnerschappen</w:t>
      </w:r>
      <w:r>
        <w:t xml:space="preserve"> aan met nationale overheden, met andere </w:t>
      </w:r>
      <w:proofErr w:type="spellStart"/>
      <w:r>
        <w:t>I</w:t>
      </w:r>
      <w:r w:rsidR="0078783E">
        <w:t>N</w:t>
      </w:r>
      <w:r>
        <w:t>GO’s</w:t>
      </w:r>
      <w:proofErr w:type="spellEnd"/>
      <w:r>
        <w:t>, ook binnen de UN, maar ook met</w:t>
      </w:r>
      <w:r w:rsidR="0075778A">
        <w:t xml:space="preserve"> maatschappelijke organisaties</w:t>
      </w:r>
      <w:r>
        <w:t xml:space="preserve"> UNODC past vaak een </w:t>
      </w:r>
      <w:r w:rsidR="0075778A">
        <w:t xml:space="preserve">brede benadering </w:t>
      </w:r>
      <w:r>
        <w:t xml:space="preserve">toe: </w:t>
      </w:r>
      <w:r w:rsidR="001D420E">
        <w:t xml:space="preserve">waarbij </w:t>
      </w:r>
      <w:r>
        <w:t xml:space="preserve">samenwerking </w:t>
      </w:r>
      <w:r w:rsidR="001D420E">
        <w:t>wordt ge</w:t>
      </w:r>
      <w:r>
        <w:t>facilite</w:t>
      </w:r>
      <w:r w:rsidR="001D420E">
        <w:t>erd</w:t>
      </w:r>
      <w:r>
        <w:t xml:space="preserve"> en </w:t>
      </w:r>
      <w:r w:rsidR="001B0C39">
        <w:t>gecoördineerd</w:t>
      </w:r>
      <w:r>
        <w:t xml:space="preserve">. UNODC ziet een belangrijke en centrale rol hierin voor zichzelf weggelegd: </w:t>
      </w:r>
      <w:r w:rsidR="001D420E">
        <w:t>UNODC kan namelijk ondersteunen bij het</w:t>
      </w:r>
      <w:r>
        <w:t xml:space="preserve"> ratificeren van de VN</w:t>
      </w:r>
      <w:r w:rsidR="001B0C39">
        <w:t>-</w:t>
      </w:r>
      <w:r>
        <w:t>resoluties, verdragen en relevante conventies, standaarden en normen</w:t>
      </w:r>
      <w:r w:rsidR="001D420E" w:rsidRPr="001D420E">
        <w:t xml:space="preserve"> </w:t>
      </w:r>
      <w:r w:rsidR="001D420E">
        <w:t>en kan daarbij faciliteren bij het implementeren</w:t>
      </w:r>
      <w:r>
        <w:t xml:space="preserve">. </w:t>
      </w:r>
    </w:p>
    <w:p w14:paraId="4ACD5DFE" w14:textId="77777777" w:rsidR="008E22BC" w:rsidRPr="00B4221E" w:rsidRDefault="008E22BC" w:rsidP="005D2A7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3"/>
        <w:gridCol w:w="953"/>
      </w:tblGrid>
      <w:tr w:rsidR="002A310E" w:rsidRPr="00EA0AA8" w14:paraId="67A2E227" w14:textId="77777777" w:rsidTr="00B06CE6">
        <w:tc>
          <w:tcPr>
            <w:tcW w:w="6912" w:type="dxa"/>
            <w:tcBorders>
              <w:top w:val="single" w:sz="12" w:space="0" w:color="auto"/>
              <w:left w:val="single" w:sz="12" w:space="0" w:color="auto"/>
              <w:bottom w:val="single" w:sz="12" w:space="0" w:color="auto"/>
            </w:tcBorders>
            <w:shd w:val="clear" w:color="auto" w:fill="D0CECE"/>
          </w:tcPr>
          <w:p w14:paraId="4124B33F"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38CEB4FC" w14:textId="77777777" w:rsidR="002A310E" w:rsidRPr="00EA0AA8" w:rsidRDefault="002A310E" w:rsidP="00382AE3">
            <w:pPr>
              <w:rPr>
                <w:b/>
              </w:rPr>
            </w:pPr>
            <w:r w:rsidRPr="00EA0AA8">
              <w:rPr>
                <w:b/>
              </w:rPr>
              <w:t>Score</w:t>
            </w:r>
          </w:p>
        </w:tc>
      </w:tr>
      <w:tr w:rsidR="002A310E" w14:paraId="0454365F" w14:textId="77777777" w:rsidTr="00382AE3">
        <w:tc>
          <w:tcPr>
            <w:tcW w:w="6912" w:type="dxa"/>
            <w:tcBorders>
              <w:top w:val="single" w:sz="12" w:space="0" w:color="auto"/>
              <w:left w:val="single" w:sz="12" w:space="0" w:color="auto"/>
            </w:tcBorders>
            <w:shd w:val="clear" w:color="auto" w:fill="auto"/>
          </w:tcPr>
          <w:p w14:paraId="15E487C4" w14:textId="77777777" w:rsidR="002A310E" w:rsidRDefault="00CD7B6F" w:rsidP="00382AE3">
            <w:r>
              <w:t>Partnerschappen met andere organisaties</w:t>
            </w:r>
          </w:p>
        </w:tc>
        <w:tc>
          <w:tcPr>
            <w:tcW w:w="955" w:type="dxa"/>
            <w:tcBorders>
              <w:top w:val="single" w:sz="12" w:space="0" w:color="auto"/>
              <w:right w:val="single" w:sz="12" w:space="0" w:color="auto"/>
            </w:tcBorders>
            <w:shd w:val="clear" w:color="auto" w:fill="auto"/>
          </w:tcPr>
          <w:p w14:paraId="1D96B510" w14:textId="77777777" w:rsidR="002A310E" w:rsidRDefault="00E41DA7" w:rsidP="00382AE3">
            <w:r>
              <w:t>4</w:t>
            </w:r>
          </w:p>
        </w:tc>
      </w:tr>
      <w:tr w:rsidR="002A310E" w14:paraId="1BBE0571" w14:textId="77777777" w:rsidTr="00382AE3">
        <w:tc>
          <w:tcPr>
            <w:tcW w:w="6912" w:type="dxa"/>
            <w:tcBorders>
              <w:left w:val="single" w:sz="12" w:space="0" w:color="auto"/>
            </w:tcBorders>
            <w:shd w:val="clear" w:color="auto" w:fill="auto"/>
          </w:tcPr>
          <w:p w14:paraId="40D36DF7" w14:textId="77777777" w:rsidR="002A310E" w:rsidRDefault="00CD7B6F" w:rsidP="00382AE3">
            <w:r>
              <w:t>Visie en rol partnerschappen</w:t>
            </w:r>
          </w:p>
        </w:tc>
        <w:tc>
          <w:tcPr>
            <w:tcW w:w="955" w:type="dxa"/>
            <w:tcBorders>
              <w:right w:val="single" w:sz="12" w:space="0" w:color="auto"/>
            </w:tcBorders>
            <w:shd w:val="clear" w:color="auto" w:fill="auto"/>
          </w:tcPr>
          <w:p w14:paraId="3425D415" w14:textId="77777777" w:rsidR="002A310E" w:rsidRDefault="00E41DA7" w:rsidP="00382AE3">
            <w:r>
              <w:t>3</w:t>
            </w:r>
          </w:p>
        </w:tc>
      </w:tr>
      <w:tr w:rsidR="002A310E" w14:paraId="3DB710CB" w14:textId="77777777" w:rsidTr="00382AE3">
        <w:tc>
          <w:tcPr>
            <w:tcW w:w="6912" w:type="dxa"/>
            <w:tcBorders>
              <w:left w:val="single" w:sz="12" w:space="0" w:color="auto"/>
            </w:tcBorders>
            <w:shd w:val="clear" w:color="auto" w:fill="auto"/>
          </w:tcPr>
          <w:p w14:paraId="5BE1484B" w14:textId="77777777" w:rsidR="002A310E" w:rsidRDefault="00CD7B6F" w:rsidP="00C447C0">
            <w:r>
              <w:t>Aanslu</w:t>
            </w:r>
            <w:r w:rsidR="00C447C0">
              <w:t>iting partnerschappen met andere actoren</w:t>
            </w:r>
          </w:p>
        </w:tc>
        <w:tc>
          <w:tcPr>
            <w:tcW w:w="955" w:type="dxa"/>
            <w:tcBorders>
              <w:right w:val="single" w:sz="12" w:space="0" w:color="auto"/>
            </w:tcBorders>
            <w:shd w:val="clear" w:color="auto" w:fill="auto"/>
          </w:tcPr>
          <w:p w14:paraId="7568DD27" w14:textId="77777777" w:rsidR="002A310E" w:rsidRDefault="00E41DA7" w:rsidP="00382AE3">
            <w:r>
              <w:t>3</w:t>
            </w:r>
          </w:p>
        </w:tc>
      </w:tr>
      <w:tr w:rsidR="00422948" w14:paraId="57248A23" w14:textId="77777777" w:rsidTr="00382AE3">
        <w:tc>
          <w:tcPr>
            <w:tcW w:w="6912" w:type="dxa"/>
            <w:tcBorders>
              <w:left w:val="single" w:sz="12" w:space="0" w:color="auto"/>
            </w:tcBorders>
            <w:shd w:val="clear" w:color="auto" w:fill="auto"/>
          </w:tcPr>
          <w:p w14:paraId="424FE6C7" w14:textId="77777777" w:rsidR="00422948" w:rsidRDefault="00072371" w:rsidP="00C447C0">
            <w:r>
              <w:t>Samenwerking en coördinatie overige actoren</w:t>
            </w:r>
          </w:p>
        </w:tc>
        <w:tc>
          <w:tcPr>
            <w:tcW w:w="955" w:type="dxa"/>
            <w:tcBorders>
              <w:right w:val="single" w:sz="12" w:space="0" w:color="auto"/>
            </w:tcBorders>
            <w:shd w:val="clear" w:color="auto" w:fill="auto"/>
          </w:tcPr>
          <w:p w14:paraId="110E991F" w14:textId="77777777" w:rsidR="00422948" w:rsidRDefault="00E41DA7" w:rsidP="00382AE3">
            <w:r>
              <w:t>4</w:t>
            </w:r>
          </w:p>
        </w:tc>
      </w:tr>
      <w:tr w:rsidR="002A310E" w:rsidRPr="00EA0AA8" w14:paraId="242E7132" w14:textId="77777777" w:rsidTr="00B06CE6">
        <w:tc>
          <w:tcPr>
            <w:tcW w:w="6912" w:type="dxa"/>
            <w:tcBorders>
              <w:top w:val="single" w:sz="12" w:space="0" w:color="auto"/>
              <w:left w:val="single" w:sz="12" w:space="0" w:color="auto"/>
              <w:bottom w:val="single" w:sz="12" w:space="0" w:color="auto"/>
            </w:tcBorders>
            <w:shd w:val="clear" w:color="auto" w:fill="D0CECE"/>
          </w:tcPr>
          <w:p w14:paraId="108FF96F"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1C333E15" w14:textId="3CC1D2C1" w:rsidR="002A310E" w:rsidRPr="00EA0AA8" w:rsidRDefault="00167BFC" w:rsidP="001B0C39">
            <w:pPr>
              <w:rPr>
                <w:b/>
              </w:rPr>
            </w:pPr>
            <w:r>
              <w:rPr>
                <w:b/>
              </w:rPr>
              <w:t xml:space="preserve">4 </w:t>
            </w:r>
          </w:p>
        </w:tc>
      </w:tr>
    </w:tbl>
    <w:p w14:paraId="218687DE" w14:textId="77777777" w:rsidR="00B54564" w:rsidRDefault="00B54564" w:rsidP="003412ED"/>
    <w:p w14:paraId="458F6B55" w14:textId="77777777" w:rsidR="001B0C39" w:rsidRDefault="001B0C39" w:rsidP="00B64502">
      <w:pPr>
        <w:ind w:firstLine="227"/>
      </w:pPr>
      <w:r>
        <w:t xml:space="preserve">Verandering sinds 2015: positief = </w:t>
      </w:r>
      <w:r w:rsidRPr="00193994">
        <w:sym w:font="Wingdings" w:char="F0E9"/>
      </w:r>
    </w:p>
    <w:p w14:paraId="6E6ECA45" w14:textId="77777777" w:rsidR="001B0C39" w:rsidRDefault="001B0C39" w:rsidP="003412ED"/>
    <w:p w14:paraId="78D42AAF" w14:textId="2780F905" w:rsidR="00DE343C" w:rsidRPr="004D372F" w:rsidRDefault="00A6710B" w:rsidP="004D372F">
      <w:pPr>
        <w:pStyle w:val="Heading2"/>
        <w:tabs>
          <w:tab w:val="left" w:pos="-1162"/>
          <w:tab w:val="left" w:pos="0"/>
          <w:tab w:val="num" w:pos="1160"/>
        </w:tabs>
        <w:spacing w:line="240" w:lineRule="auto"/>
        <w:ind w:hanging="1162"/>
      </w:pPr>
      <w:bookmarkStart w:id="51" w:name="_Toc410140903"/>
      <w:bookmarkStart w:id="52" w:name="_Toc479602609"/>
      <w:bookmarkStart w:id="53" w:name="_Toc491442792"/>
      <w:r>
        <w:t>4</w:t>
      </w:r>
      <w:r w:rsidR="004D372F" w:rsidRPr="004D372F">
        <w:t>.</w:t>
      </w:r>
      <w:r w:rsidR="00A74DEC">
        <w:t>4</w:t>
      </w:r>
      <w:r w:rsidR="004D372F" w:rsidRPr="004D372F">
        <w:t xml:space="preserve"> </w:t>
      </w:r>
      <w:r w:rsidR="0031751C">
        <w:tab/>
      </w:r>
      <w:r w:rsidR="00CD7B6F">
        <w:t>Operationeel management</w:t>
      </w:r>
      <w:bookmarkEnd w:id="51"/>
      <w:bookmarkEnd w:id="52"/>
      <w:bookmarkEnd w:id="53"/>
    </w:p>
    <w:p w14:paraId="67D4FC92" w14:textId="0F92A3EA" w:rsidR="004F2FDB" w:rsidRDefault="009A7E72" w:rsidP="009A7E72">
      <w:r>
        <w:t>UNODC wordt over het algemeen gezien als een professionele organisatie waar kundige mensen werken</w:t>
      </w:r>
      <w:r w:rsidR="001D420E">
        <w:t xml:space="preserve">. </w:t>
      </w:r>
      <w:r w:rsidR="00925C95">
        <w:t>De Nederlandse ervaringen zijn positief met z</w:t>
      </w:r>
      <w:r w:rsidR="001D420E">
        <w:t xml:space="preserve">owel </w:t>
      </w:r>
      <w:r w:rsidR="00925C95">
        <w:t xml:space="preserve">een aantal afdelingen </w:t>
      </w:r>
      <w:r w:rsidR="001D420E">
        <w:t>op</w:t>
      </w:r>
      <w:r w:rsidR="00367BD3">
        <w:t xml:space="preserve"> het</w:t>
      </w:r>
      <w:r w:rsidR="001D420E">
        <w:t xml:space="preserve"> hoofdkantoor</w:t>
      </w:r>
      <w:r w:rsidR="00925C95">
        <w:t>,</w:t>
      </w:r>
      <w:r w:rsidR="001D420E">
        <w:t xml:space="preserve"> als in het veld</w:t>
      </w:r>
      <w:r w:rsidR="00925C95">
        <w:t>. Zo</w:t>
      </w:r>
      <w:r w:rsidR="001D420E">
        <w:t xml:space="preserve"> zijn</w:t>
      </w:r>
      <w:r>
        <w:t xml:space="preserve"> </w:t>
      </w:r>
      <w:r w:rsidR="009823B8">
        <w:t xml:space="preserve">belangrijke </w:t>
      </w:r>
      <w:r w:rsidR="00E51595">
        <w:t xml:space="preserve">en goed functionerende </w:t>
      </w:r>
      <w:r>
        <w:t xml:space="preserve">onderdelen de </w:t>
      </w:r>
      <w:proofErr w:type="spellStart"/>
      <w:r w:rsidR="00CB063E" w:rsidRPr="009C724E">
        <w:rPr>
          <w:i/>
        </w:rPr>
        <w:t>Terrorism</w:t>
      </w:r>
      <w:proofErr w:type="spellEnd"/>
      <w:r w:rsidR="00CB063E" w:rsidRPr="009C724E">
        <w:rPr>
          <w:i/>
        </w:rPr>
        <w:t xml:space="preserve"> Prevention </w:t>
      </w:r>
      <w:proofErr w:type="spellStart"/>
      <w:r w:rsidR="00CB063E" w:rsidRPr="009C724E">
        <w:rPr>
          <w:i/>
        </w:rPr>
        <w:t>Branch</w:t>
      </w:r>
      <w:proofErr w:type="spellEnd"/>
      <w:r>
        <w:t xml:space="preserve"> (TPB)</w:t>
      </w:r>
      <w:r w:rsidR="009823B8">
        <w:t xml:space="preserve">, de </w:t>
      </w:r>
      <w:r w:rsidR="00CB063E" w:rsidRPr="009C724E">
        <w:rPr>
          <w:i/>
        </w:rPr>
        <w:t xml:space="preserve">Health </w:t>
      </w:r>
      <w:proofErr w:type="spellStart"/>
      <w:r w:rsidR="00CB063E" w:rsidRPr="009C724E">
        <w:rPr>
          <w:i/>
        </w:rPr>
        <w:t>Branch</w:t>
      </w:r>
      <w:proofErr w:type="spellEnd"/>
      <w:r w:rsidR="009823B8">
        <w:t xml:space="preserve">, de </w:t>
      </w:r>
      <w:r w:rsidR="00CB063E" w:rsidRPr="009C724E">
        <w:rPr>
          <w:i/>
        </w:rPr>
        <w:t xml:space="preserve">Research </w:t>
      </w:r>
      <w:proofErr w:type="spellStart"/>
      <w:r w:rsidR="00CB063E" w:rsidRPr="009C724E">
        <w:rPr>
          <w:i/>
        </w:rPr>
        <w:t>and</w:t>
      </w:r>
      <w:proofErr w:type="spellEnd"/>
      <w:r w:rsidR="00CB063E" w:rsidRPr="009C724E">
        <w:rPr>
          <w:i/>
        </w:rPr>
        <w:t xml:space="preserve"> Analysis </w:t>
      </w:r>
      <w:proofErr w:type="spellStart"/>
      <w:r w:rsidR="00CB063E" w:rsidRPr="009C724E">
        <w:rPr>
          <w:i/>
        </w:rPr>
        <w:t>Branch</w:t>
      </w:r>
      <w:proofErr w:type="spellEnd"/>
      <w:r w:rsidR="00367BD3">
        <w:rPr>
          <w:i/>
        </w:rPr>
        <w:t>,</w:t>
      </w:r>
      <w:r w:rsidR="006C4C62">
        <w:t xml:space="preserve"> als ook de secretariaten van de bestuursorganen.</w:t>
      </w:r>
      <w:r w:rsidR="001D420E">
        <w:t xml:space="preserve"> De</w:t>
      </w:r>
      <w:r w:rsidR="004F2FDB">
        <w:t xml:space="preserve"> </w:t>
      </w:r>
      <w:r>
        <w:t>ervaringen hiermee zijn positief</w:t>
      </w:r>
      <w:r w:rsidR="004F2FDB">
        <w:t xml:space="preserve"> en er is veel </w:t>
      </w:r>
      <w:r w:rsidR="00E51595">
        <w:t xml:space="preserve">contact met </w:t>
      </w:r>
      <w:r w:rsidR="004F2FDB">
        <w:t xml:space="preserve"> de donoren</w:t>
      </w:r>
      <w:r w:rsidR="00634621">
        <w:t>.</w:t>
      </w:r>
      <w:r>
        <w:t xml:space="preserve"> </w:t>
      </w:r>
      <w:r w:rsidR="004F2FDB">
        <w:t>De faciliterende rol van het UNODC</w:t>
      </w:r>
      <w:r w:rsidR="00367BD3">
        <w:t>-</w:t>
      </w:r>
      <w:r w:rsidR="004F2FDB">
        <w:t>secretariaat richting de lidstaten bij de organisatie van de CND en de CCPCJ is uitstekend</w:t>
      </w:r>
      <w:r w:rsidR="00367BD3">
        <w:t xml:space="preserve"> te noemen</w:t>
      </w:r>
      <w:r w:rsidR="004F2FDB">
        <w:t xml:space="preserve">. </w:t>
      </w:r>
    </w:p>
    <w:p w14:paraId="3E273FB9" w14:textId="77777777" w:rsidR="001D420E" w:rsidRDefault="001D420E" w:rsidP="009A7E72"/>
    <w:p w14:paraId="3D1C365D" w14:textId="77777777" w:rsidR="00917B7B" w:rsidRDefault="008E5127" w:rsidP="009A7E72">
      <w:r>
        <w:t xml:space="preserve">De regiokantoren stemmen hun meerjarige strategie af met het hoofdkantoor en met de lidstaten. </w:t>
      </w:r>
      <w:r w:rsidR="001D420E">
        <w:t>He</w:t>
      </w:r>
      <w:r>
        <w:t xml:space="preserve">t functioneren van deze </w:t>
      </w:r>
      <w:r w:rsidR="009A7E72">
        <w:t xml:space="preserve">kantoren </w:t>
      </w:r>
      <w:r w:rsidR="001D420E">
        <w:t>hangt</w:t>
      </w:r>
      <w:r w:rsidR="009A7E72">
        <w:t xml:space="preserve"> vooral </w:t>
      </w:r>
      <w:r w:rsidR="001D420E">
        <w:t xml:space="preserve">af </w:t>
      </w:r>
      <w:r w:rsidR="009A7E72">
        <w:t xml:space="preserve">van de personen die </w:t>
      </w:r>
      <w:r>
        <w:t>de leiding hebben</w:t>
      </w:r>
      <w:r w:rsidR="009A7E72">
        <w:t>.</w:t>
      </w:r>
      <w:r w:rsidR="004F2FDB">
        <w:t xml:space="preserve"> </w:t>
      </w:r>
      <w:r w:rsidR="00E51595">
        <w:t xml:space="preserve">Over het algemeen zijn de ervaringen van Nederland met UNODC zeer positief. </w:t>
      </w:r>
      <w:r w:rsidR="00E4287B">
        <w:t xml:space="preserve">Nederland </w:t>
      </w:r>
      <w:r>
        <w:t xml:space="preserve">heeft voornamelijk </w:t>
      </w:r>
      <w:r w:rsidR="00B36397">
        <w:t>UNODC-</w:t>
      </w:r>
      <w:r>
        <w:t>projecten</w:t>
      </w:r>
      <w:r w:rsidR="008423AD">
        <w:t xml:space="preserve"> lopen</w:t>
      </w:r>
      <w:r>
        <w:t xml:space="preserve"> </w:t>
      </w:r>
      <w:r w:rsidR="008423AD">
        <w:t>in Noord, Oost en West Afrika</w:t>
      </w:r>
      <w:r w:rsidR="00B36397">
        <w:t>,</w:t>
      </w:r>
      <w:r w:rsidR="008423AD">
        <w:t xml:space="preserve"> maar</w:t>
      </w:r>
      <w:r>
        <w:t xml:space="preserve"> niet </w:t>
      </w:r>
      <w:r w:rsidR="00E4287B">
        <w:t>in Latijns-Amerikaanse regio</w:t>
      </w:r>
      <w:r>
        <w:t xml:space="preserve">. Op de kantoren in Afrika zitten </w:t>
      </w:r>
      <w:r w:rsidR="009A7E72">
        <w:t>een aantal zeer goede medewerkers, die ook goede projecte</w:t>
      </w:r>
      <w:r w:rsidR="008423AD">
        <w:t>n neerzetten. Zij verzorgen goede feedback naar de donoren en</w:t>
      </w:r>
      <w:r w:rsidR="009A7E72">
        <w:t xml:space="preserve"> </w:t>
      </w:r>
      <w:r w:rsidR="008423AD">
        <w:t xml:space="preserve">hun projectbeheer is </w:t>
      </w:r>
      <w:r w:rsidR="009A7E72">
        <w:t xml:space="preserve">op orde. </w:t>
      </w:r>
    </w:p>
    <w:p w14:paraId="285BE103" w14:textId="77777777" w:rsidR="00653817" w:rsidRDefault="00653817" w:rsidP="009A7E72"/>
    <w:p w14:paraId="053CC09C" w14:textId="40FFF760" w:rsidR="009A7E72" w:rsidRDefault="00E51595" w:rsidP="009A7E72">
      <w:r>
        <w:t xml:space="preserve">In 2015 waren </w:t>
      </w:r>
      <w:r w:rsidR="009A7E72">
        <w:t>er ook signalen dat</w:t>
      </w:r>
      <w:r w:rsidR="00E4287B">
        <w:t xml:space="preserve"> een aantal</w:t>
      </w:r>
      <w:r w:rsidR="009A7E72">
        <w:t xml:space="preserve"> UNODC </w:t>
      </w:r>
      <w:r w:rsidR="008423AD">
        <w:t>landenkantoren moeite heeft</w:t>
      </w:r>
      <w:r w:rsidR="00E4287B">
        <w:t xml:space="preserve"> met hun </w:t>
      </w:r>
      <w:r w:rsidR="009A7E72">
        <w:t>project</w:t>
      </w:r>
      <w:r w:rsidR="00E4287B">
        <w:t>management</w:t>
      </w:r>
      <w:r w:rsidR="009A7E72">
        <w:t xml:space="preserve"> </w:t>
      </w:r>
      <w:r w:rsidR="00E4287B">
        <w:t xml:space="preserve">en -planning, onder andere door  </w:t>
      </w:r>
      <w:r w:rsidR="00ED0AAF">
        <w:t>personeelswisselingen</w:t>
      </w:r>
      <w:r w:rsidR="00E4287B">
        <w:t xml:space="preserve">, implementatie van nieuwe rapportagesystemen en de strak </w:t>
      </w:r>
      <w:r w:rsidR="00ED0AAF">
        <w:rPr>
          <w:i/>
        </w:rPr>
        <w:t>non-</w:t>
      </w:r>
      <w:proofErr w:type="spellStart"/>
      <w:r w:rsidR="00ED0AAF">
        <w:rPr>
          <w:i/>
        </w:rPr>
        <w:t>core</w:t>
      </w:r>
      <w:proofErr w:type="spellEnd"/>
      <w:r w:rsidR="00ED0AAF">
        <w:rPr>
          <w:i/>
        </w:rPr>
        <w:t xml:space="preserve"> </w:t>
      </w:r>
      <w:r w:rsidR="00E4287B">
        <w:t>funding</w:t>
      </w:r>
      <w:r w:rsidR="009A7E72">
        <w:t xml:space="preserve">. </w:t>
      </w:r>
      <w:r w:rsidR="008423AD">
        <w:t>Dat leidt ertoe</w:t>
      </w:r>
      <w:r w:rsidR="009A7E72">
        <w:t xml:space="preserve"> d</w:t>
      </w:r>
      <w:bookmarkStart w:id="54" w:name="_GoBack"/>
      <w:bookmarkEnd w:id="54"/>
      <w:r w:rsidR="009A7E72">
        <w:t xml:space="preserve">at gestelde doelen niet behaald worden. Een punt van </w:t>
      </w:r>
      <w:r w:rsidR="008423AD">
        <w:t>ver</w:t>
      </w:r>
      <w:r w:rsidR="009A7E72">
        <w:t>betering op het gebied van projectbeheer is</w:t>
      </w:r>
      <w:r w:rsidR="00ED0AAF">
        <w:t xml:space="preserve"> </w:t>
      </w:r>
      <w:r w:rsidR="009A7E72">
        <w:t xml:space="preserve">het leveren van de financiële rapportages </w:t>
      </w:r>
      <w:r w:rsidR="00043CC4">
        <w:t>als gevolg van de problemen</w:t>
      </w:r>
      <w:r w:rsidR="00E4287B">
        <w:t xml:space="preserve"> met de invoering van UMOJA</w:t>
      </w:r>
      <w:r w:rsidR="00043CC4">
        <w:t xml:space="preserve"> </w:t>
      </w:r>
      <w:r w:rsidR="009A7E72">
        <w:t xml:space="preserve">(zie ook 3.7). </w:t>
      </w:r>
      <w:r>
        <w:t>In komende jaren beloof</w:t>
      </w:r>
      <w:r w:rsidR="00653817">
        <w:t>t</w:t>
      </w:r>
      <w:r>
        <w:t xml:space="preserve"> UNODC </w:t>
      </w:r>
      <w:r w:rsidR="00653817">
        <w:t>ook dat het beter zal gaan</w:t>
      </w:r>
      <w:r>
        <w:t>, nu de systemen ingevoerd zijn en het personeel getraind is.</w:t>
      </w:r>
      <w:r w:rsidR="00653817">
        <w:t xml:space="preserve"> In 2016 zou dit al beter moeten zijn gegaan, rapportages hierover moeten echter beschikbaar gemaakt worden.</w:t>
      </w:r>
    </w:p>
    <w:p w14:paraId="0B58165B" w14:textId="77777777" w:rsidR="00E4287B" w:rsidRDefault="00E4287B" w:rsidP="009A7E72"/>
    <w:p w14:paraId="56E55A2F" w14:textId="2171041E" w:rsidR="009A7E72" w:rsidRDefault="009A7E72" w:rsidP="009A7E72">
      <w:r>
        <w:t xml:space="preserve">Omdat de projecten zich met name bevinden </w:t>
      </w:r>
      <w:r w:rsidR="00917B7B">
        <w:t>versterken van overheden zoals ondersteuning bij het invoeren van internationale resoluties over</w:t>
      </w:r>
      <w:r w:rsidR="00ED0AAF">
        <w:t xml:space="preserve"> </w:t>
      </w:r>
      <w:r>
        <w:t xml:space="preserve">het bestrijden van drugs en </w:t>
      </w:r>
      <w:r w:rsidR="00917B7B">
        <w:t>misdaad. Zonder medewerking van nationale en lokale overheden is dit werk niet mogelijk. UNODC werkt niet alleen samen met het lokale politie- en justitiële apparaat, maar zet ook in op verbetering ervan.</w:t>
      </w:r>
      <w:r>
        <w:t xml:space="preserve"> </w:t>
      </w:r>
      <w:r w:rsidR="008423AD">
        <w:t xml:space="preserve">De kracht van UNODC ligt </w:t>
      </w:r>
      <w:r w:rsidR="008423AD">
        <w:lastRenderedPageBreak/>
        <w:t xml:space="preserve">erin dat het </w:t>
      </w:r>
      <w:r w:rsidR="00E4287B">
        <w:t>toegang</w:t>
      </w:r>
      <w:r w:rsidR="008423AD">
        <w:t xml:space="preserve"> heeft tot</w:t>
      </w:r>
      <w:r w:rsidR="00917B7B">
        <w:t xml:space="preserve"> politie, gevangenissen en</w:t>
      </w:r>
      <w:r w:rsidR="00ED0AAF">
        <w:t xml:space="preserve"> </w:t>
      </w:r>
      <w:r w:rsidR="00452F7E">
        <w:t xml:space="preserve">justitiële </w:t>
      </w:r>
      <w:r w:rsidR="008423AD">
        <w:t xml:space="preserve">systemen in </w:t>
      </w:r>
      <w:r w:rsidR="007828B3">
        <w:t>vaak complexe omgeving</w:t>
      </w:r>
      <w:r w:rsidR="008423AD">
        <w:t>en</w:t>
      </w:r>
      <w:r w:rsidR="007828B3">
        <w:t xml:space="preserve">. </w:t>
      </w:r>
    </w:p>
    <w:p w14:paraId="07B7C65F" w14:textId="7CE2EF91" w:rsidR="005A1763" w:rsidRDefault="005A1763" w:rsidP="009A7E72"/>
    <w:p w14:paraId="290D8C9B" w14:textId="179F84D9" w:rsidR="005A1763" w:rsidRDefault="005A1763" w:rsidP="009A7E72"/>
    <w:p w14:paraId="5DB841BC" w14:textId="32630717" w:rsidR="005A1763" w:rsidRDefault="005A1763" w:rsidP="009A7E72"/>
    <w:p w14:paraId="1C13DEEA" w14:textId="61125A78" w:rsidR="005A1763" w:rsidRDefault="005A1763" w:rsidP="009A7E72"/>
    <w:p w14:paraId="18258F4E" w14:textId="77777777" w:rsidR="005A1763" w:rsidRDefault="005A1763" w:rsidP="009A7E72"/>
    <w:p w14:paraId="2CEBB90F" w14:textId="77777777" w:rsidR="002A310E" w:rsidRDefault="002A310E" w:rsidP="003266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3"/>
        <w:gridCol w:w="953"/>
      </w:tblGrid>
      <w:tr w:rsidR="002A310E" w:rsidRPr="00EA0AA8" w14:paraId="6DF49994" w14:textId="77777777" w:rsidTr="00EF510E">
        <w:tc>
          <w:tcPr>
            <w:tcW w:w="6853" w:type="dxa"/>
            <w:tcBorders>
              <w:top w:val="single" w:sz="12" w:space="0" w:color="auto"/>
              <w:left w:val="single" w:sz="12" w:space="0" w:color="auto"/>
              <w:bottom w:val="single" w:sz="12" w:space="0" w:color="auto"/>
            </w:tcBorders>
            <w:shd w:val="clear" w:color="auto" w:fill="D0CECE"/>
          </w:tcPr>
          <w:p w14:paraId="5B8CB470" w14:textId="77777777" w:rsidR="002A310E" w:rsidRPr="00EA0AA8" w:rsidRDefault="002A310E" w:rsidP="00382AE3">
            <w:pPr>
              <w:rPr>
                <w:b/>
              </w:rPr>
            </w:pPr>
            <w:r w:rsidRPr="00EA0AA8">
              <w:rPr>
                <w:b/>
              </w:rPr>
              <w:t>Onderdeel</w:t>
            </w:r>
          </w:p>
        </w:tc>
        <w:tc>
          <w:tcPr>
            <w:tcW w:w="953" w:type="dxa"/>
            <w:tcBorders>
              <w:top w:val="single" w:sz="12" w:space="0" w:color="auto"/>
              <w:bottom w:val="single" w:sz="12" w:space="0" w:color="auto"/>
              <w:right w:val="single" w:sz="12" w:space="0" w:color="auto"/>
            </w:tcBorders>
            <w:shd w:val="clear" w:color="auto" w:fill="D0CECE"/>
          </w:tcPr>
          <w:p w14:paraId="769FC5CA" w14:textId="77777777" w:rsidR="002A310E" w:rsidRPr="00EA0AA8" w:rsidRDefault="002A310E" w:rsidP="00382AE3">
            <w:pPr>
              <w:rPr>
                <w:b/>
              </w:rPr>
            </w:pPr>
            <w:r w:rsidRPr="00EA0AA8">
              <w:rPr>
                <w:b/>
              </w:rPr>
              <w:t>Score</w:t>
            </w:r>
          </w:p>
        </w:tc>
      </w:tr>
      <w:tr w:rsidR="002A310E" w14:paraId="6A3F2068" w14:textId="77777777" w:rsidTr="00EF510E">
        <w:tc>
          <w:tcPr>
            <w:tcW w:w="6853" w:type="dxa"/>
            <w:tcBorders>
              <w:top w:val="single" w:sz="12" w:space="0" w:color="auto"/>
              <w:left w:val="single" w:sz="12" w:space="0" w:color="auto"/>
            </w:tcBorders>
            <w:shd w:val="clear" w:color="auto" w:fill="auto"/>
          </w:tcPr>
          <w:p w14:paraId="33E4C017" w14:textId="77777777" w:rsidR="002A310E" w:rsidRDefault="008A646F" w:rsidP="00382AE3">
            <w:r>
              <w:t>Delegatie van bevoegdheden</w:t>
            </w:r>
          </w:p>
        </w:tc>
        <w:tc>
          <w:tcPr>
            <w:tcW w:w="953" w:type="dxa"/>
            <w:tcBorders>
              <w:top w:val="single" w:sz="12" w:space="0" w:color="auto"/>
              <w:right w:val="single" w:sz="12" w:space="0" w:color="auto"/>
            </w:tcBorders>
            <w:shd w:val="clear" w:color="auto" w:fill="auto"/>
          </w:tcPr>
          <w:p w14:paraId="35075753" w14:textId="77777777" w:rsidR="002A310E" w:rsidRDefault="009A7E72" w:rsidP="00382AE3">
            <w:r>
              <w:t>3</w:t>
            </w:r>
          </w:p>
        </w:tc>
      </w:tr>
      <w:tr w:rsidR="002A310E" w14:paraId="4C356293" w14:textId="77777777" w:rsidTr="00EF510E">
        <w:tc>
          <w:tcPr>
            <w:tcW w:w="6853" w:type="dxa"/>
            <w:tcBorders>
              <w:left w:val="single" w:sz="12" w:space="0" w:color="auto"/>
            </w:tcBorders>
            <w:shd w:val="clear" w:color="auto" w:fill="auto"/>
          </w:tcPr>
          <w:p w14:paraId="41A3D02F" w14:textId="77777777" w:rsidR="002A310E" w:rsidRDefault="008A646F" w:rsidP="00382AE3">
            <w:r>
              <w:t>Projectbeheer en financieel beheer</w:t>
            </w:r>
          </w:p>
        </w:tc>
        <w:tc>
          <w:tcPr>
            <w:tcW w:w="953" w:type="dxa"/>
            <w:tcBorders>
              <w:right w:val="single" w:sz="12" w:space="0" w:color="auto"/>
            </w:tcBorders>
            <w:shd w:val="clear" w:color="auto" w:fill="auto"/>
          </w:tcPr>
          <w:p w14:paraId="4758103D" w14:textId="030B7B92" w:rsidR="002A310E" w:rsidRDefault="00E51595" w:rsidP="00382AE3">
            <w:r w:rsidRPr="00ED0AAF">
              <w:t>3</w:t>
            </w:r>
          </w:p>
        </w:tc>
      </w:tr>
      <w:tr w:rsidR="002A310E" w14:paraId="054C0411" w14:textId="77777777" w:rsidTr="00EF510E">
        <w:tc>
          <w:tcPr>
            <w:tcW w:w="6853" w:type="dxa"/>
            <w:tcBorders>
              <w:left w:val="single" w:sz="12" w:space="0" w:color="auto"/>
            </w:tcBorders>
            <w:shd w:val="clear" w:color="auto" w:fill="auto"/>
          </w:tcPr>
          <w:p w14:paraId="0937B091" w14:textId="77777777" w:rsidR="002A310E" w:rsidRDefault="008A646F" w:rsidP="00382AE3">
            <w:r>
              <w:t>Verantwoordelijkheden en bevoegdheden decentrale kantoren</w:t>
            </w:r>
          </w:p>
        </w:tc>
        <w:tc>
          <w:tcPr>
            <w:tcW w:w="953" w:type="dxa"/>
            <w:tcBorders>
              <w:right w:val="single" w:sz="12" w:space="0" w:color="auto"/>
            </w:tcBorders>
            <w:shd w:val="clear" w:color="auto" w:fill="auto"/>
          </w:tcPr>
          <w:p w14:paraId="37D4F07C" w14:textId="77777777" w:rsidR="002A310E" w:rsidRDefault="008E5127" w:rsidP="00382AE3">
            <w:r>
              <w:t>3</w:t>
            </w:r>
          </w:p>
        </w:tc>
      </w:tr>
      <w:tr w:rsidR="002A310E" w14:paraId="1A39DA1A" w14:textId="77777777" w:rsidTr="00EF510E">
        <w:tc>
          <w:tcPr>
            <w:tcW w:w="6853" w:type="dxa"/>
            <w:tcBorders>
              <w:left w:val="single" w:sz="12" w:space="0" w:color="auto"/>
              <w:bottom w:val="single" w:sz="12" w:space="0" w:color="auto"/>
            </w:tcBorders>
            <w:shd w:val="clear" w:color="auto" w:fill="auto"/>
          </w:tcPr>
          <w:p w14:paraId="6246BE0C" w14:textId="77777777" w:rsidR="002A310E" w:rsidRDefault="008A646F" w:rsidP="00382AE3">
            <w:r>
              <w:t>Gebruik van lokale partners en systemen</w:t>
            </w:r>
          </w:p>
        </w:tc>
        <w:tc>
          <w:tcPr>
            <w:tcW w:w="953" w:type="dxa"/>
            <w:tcBorders>
              <w:bottom w:val="single" w:sz="12" w:space="0" w:color="auto"/>
              <w:right w:val="single" w:sz="12" w:space="0" w:color="auto"/>
            </w:tcBorders>
            <w:shd w:val="clear" w:color="auto" w:fill="auto"/>
          </w:tcPr>
          <w:p w14:paraId="354E5AE9" w14:textId="6A904A68" w:rsidR="002A310E" w:rsidRDefault="000B747D" w:rsidP="00382AE3">
            <w:r>
              <w:t>4</w:t>
            </w:r>
          </w:p>
        </w:tc>
      </w:tr>
      <w:tr w:rsidR="002A310E" w:rsidRPr="00EA0AA8" w14:paraId="16DF1DF4" w14:textId="77777777" w:rsidTr="00EF510E">
        <w:tc>
          <w:tcPr>
            <w:tcW w:w="6853" w:type="dxa"/>
            <w:tcBorders>
              <w:top w:val="single" w:sz="12" w:space="0" w:color="auto"/>
              <w:left w:val="single" w:sz="12" w:space="0" w:color="auto"/>
              <w:bottom w:val="single" w:sz="12" w:space="0" w:color="auto"/>
            </w:tcBorders>
            <w:shd w:val="clear" w:color="auto" w:fill="D0CECE"/>
          </w:tcPr>
          <w:p w14:paraId="669C5F51" w14:textId="77777777" w:rsidR="002A310E" w:rsidRPr="00EA0AA8" w:rsidRDefault="002A310E" w:rsidP="00382AE3">
            <w:pPr>
              <w:rPr>
                <w:b/>
              </w:rPr>
            </w:pPr>
            <w:r w:rsidRPr="00F313B0">
              <w:rPr>
                <w:b/>
              </w:rPr>
              <w:t>TOTAAL</w:t>
            </w:r>
          </w:p>
        </w:tc>
        <w:tc>
          <w:tcPr>
            <w:tcW w:w="953" w:type="dxa"/>
            <w:tcBorders>
              <w:top w:val="single" w:sz="12" w:space="0" w:color="auto"/>
              <w:bottom w:val="single" w:sz="12" w:space="0" w:color="auto"/>
              <w:right w:val="single" w:sz="12" w:space="0" w:color="auto"/>
            </w:tcBorders>
            <w:shd w:val="clear" w:color="auto" w:fill="D0CECE"/>
          </w:tcPr>
          <w:p w14:paraId="4E152FDC" w14:textId="553DD7A6" w:rsidR="002A310E" w:rsidRPr="00EA0AA8" w:rsidRDefault="009A7E72" w:rsidP="00382AE3">
            <w:pPr>
              <w:rPr>
                <w:b/>
              </w:rPr>
            </w:pPr>
            <w:r>
              <w:rPr>
                <w:b/>
              </w:rPr>
              <w:t>3</w:t>
            </w:r>
          </w:p>
        </w:tc>
      </w:tr>
    </w:tbl>
    <w:p w14:paraId="56870C0B" w14:textId="77777777" w:rsidR="0055431F" w:rsidRDefault="0055431F" w:rsidP="00326699"/>
    <w:p w14:paraId="0A4C9990" w14:textId="22BD5ACE" w:rsidR="00653817" w:rsidRDefault="00653817" w:rsidP="00B64502">
      <w:pPr>
        <w:ind w:firstLine="227"/>
      </w:pPr>
      <w:r>
        <w:t>Verandering sinds 2015;</w:t>
      </w:r>
      <w:r w:rsidR="000B747D">
        <w:t xml:space="preserve"> neutraal = </w:t>
      </w:r>
      <w:r w:rsidR="000B747D" w:rsidRPr="00193994">
        <w:sym w:font="Wingdings" w:char="F0E8"/>
      </w:r>
    </w:p>
    <w:p w14:paraId="10184ADF" w14:textId="3D67F1FB" w:rsidR="002A310E" w:rsidRDefault="00917B7B" w:rsidP="00326699">
      <w:r>
        <w:t xml:space="preserve"> </w:t>
      </w:r>
    </w:p>
    <w:p w14:paraId="30B28551" w14:textId="4D1CB859" w:rsidR="003A32D7" w:rsidRDefault="00A6710B" w:rsidP="003A32D7">
      <w:pPr>
        <w:pStyle w:val="Heading2"/>
        <w:tabs>
          <w:tab w:val="left" w:pos="-1162"/>
          <w:tab w:val="left" w:pos="0"/>
          <w:tab w:val="num" w:pos="1160"/>
        </w:tabs>
        <w:spacing w:line="240" w:lineRule="auto"/>
        <w:ind w:hanging="1162"/>
        <w:rPr>
          <w:b w:val="0"/>
        </w:rPr>
      </w:pPr>
      <w:bookmarkStart w:id="55" w:name="_Toc479602610"/>
      <w:bookmarkStart w:id="56" w:name="_Toc491442793"/>
      <w:r>
        <w:t>4</w:t>
      </w:r>
      <w:r w:rsidR="00E276B2">
        <w:t>.</w:t>
      </w:r>
      <w:r w:rsidR="00A74DEC">
        <w:t>5</w:t>
      </w:r>
      <w:r w:rsidR="00E276B2">
        <w:tab/>
      </w:r>
      <w:r w:rsidR="003A32D7" w:rsidRPr="004D372F">
        <w:t>Beleidsevaluatie</w:t>
      </w:r>
      <w:bookmarkEnd w:id="55"/>
      <w:bookmarkEnd w:id="56"/>
    </w:p>
    <w:p w14:paraId="0200E6DA" w14:textId="28AEE11D" w:rsidR="00F74AC4" w:rsidRPr="00312FA8" w:rsidRDefault="00576959" w:rsidP="00312FA8">
      <w:pPr>
        <w:autoSpaceDE w:val="0"/>
        <w:autoSpaceDN w:val="0"/>
        <w:adjustRightInd w:val="0"/>
        <w:spacing w:line="240" w:lineRule="auto"/>
        <w:rPr>
          <w:rFonts w:cs="Verdana"/>
          <w:szCs w:val="18"/>
          <w:lang w:eastAsia="ja-JP"/>
        </w:rPr>
      </w:pPr>
      <w:r>
        <w:rPr>
          <w:rFonts w:cs="Verdana"/>
          <w:szCs w:val="18"/>
          <w:lang w:eastAsia="ja-JP"/>
        </w:rPr>
        <w:t xml:space="preserve">In 2010 heeft UNODC, mede op Nederlandse aandrang, </w:t>
      </w:r>
      <w:r w:rsidRPr="008E5127">
        <w:rPr>
          <w:rFonts w:cs="Verdana"/>
          <w:szCs w:val="18"/>
          <w:lang w:eastAsia="ja-JP"/>
        </w:rPr>
        <w:t xml:space="preserve">een </w:t>
      </w:r>
      <w:r w:rsidR="00CB063E" w:rsidRPr="009C724E">
        <w:rPr>
          <w:rFonts w:cs="Verdana,Italic"/>
          <w:i/>
          <w:iCs/>
          <w:szCs w:val="18"/>
          <w:lang w:eastAsia="ja-JP"/>
        </w:rPr>
        <w:t>Independent Evaluation Unit</w:t>
      </w:r>
      <w:r w:rsidRPr="007C10F1">
        <w:rPr>
          <w:rFonts w:cs="Verdana,Italic"/>
          <w:i/>
          <w:iCs/>
          <w:szCs w:val="18"/>
          <w:lang w:eastAsia="ja-JP"/>
        </w:rPr>
        <w:t xml:space="preserve"> </w:t>
      </w:r>
      <w:r w:rsidRPr="007C10F1">
        <w:rPr>
          <w:rFonts w:cs="Verdana"/>
          <w:szCs w:val="18"/>
          <w:lang w:eastAsia="ja-JP"/>
        </w:rPr>
        <w:t>(IEU)</w:t>
      </w:r>
      <w:r w:rsidRPr="008E5127">
        <w:rPr>
          <w:rFonts w:cs="Verdana"/>
          <w:szCs w:val="18"/>
          <w:lang w:eastAsia="ja-JP"/>
        </w:rPr>
        <w:t xml:space="preserve"> opgericht, die verantwoordelijk is voor de evalua</w:t>
      </w:r>
      <w:r w:rsidR="008423AD">
        <w:rPr>
          <w:rFonts w:cs="Verdana"/>
          <w:szCs w:val="18"/>
          <w:lang w:eastAsia="ja-JP"/>
        </w:rPr>
        <w:t>tie van UNODC-projecten</w:t>
      </w:r>
      <w:r>
        <w:rPr>
          <w:rFonts w:cs="Verdana"/>
          <w:szCs w:val="18"/>
          <w:lang w:eastAsia="ja-JP"/>
        </w:rPr>
        <w:t xml:space="preserve">. </w:t>
      </w:r>
      <w:r w:rsidR="00D06E49">
        <w:t xml:space="preserve">IEU rapporteert direct en parallel naar de Executive Director en aan de lidstaten via </w:t>
      </w:r>
      <w:proofErr w:type="spellStart"/>
      <w:r w:rsidR="00D06E49">
        <w:t>FinGov</w:t>
      </w:r>
      <w:proofErr w:type="spellEnd"/>
      <w:r w:rsidR="00D06E49">
        <w:t xml:space="preserve"> waar “evaluatie” een standaard </w:t>
      </w:r>
      <w:r w:rsidR="005131D1">
        <w:t>vergaderpunt</w:t>
      </w:r>
      <w:r w:rsidR="00D06E49">
        <w:t xml:space="preserve"> is.</w:t>
      </w:r>
      <w:r w:rsidR="00BB0687">
        <w:t xml:space="preserve"> </w:t>
      </w:r>
      <w:r>
        <w:rPr>
          <w:rFonts w:cs="Verdana"/>
          <w:szCs w:val="18"/>
          <w:lang w:eastAsia="ja-JP"/>
        </w:rPr>
        <w:t>De</w:t>
      </w:r>
      <w:r w:rsidR="008E5127">
        <w:rPr>
          <w:rFonts w:cs="Verdana,Italic"/>
          <w:i/>
          <w:iCs/>
          <w:sz w:val="20"/>
          <w:szCs w:val="20"/>
          <w:lang w:eastAsia="ja-JP"/>
        </w:rPr>
        <w:t xml:space="preserve"> </w:t>
      </w:r>
      <w:r>
        <w:rPr>
          <w:rFonts w:cs="Verdana"/>
          <w:szCs w:val="18"/>
          <w:lang w:eastAsia="ja-JP"/>
        </w:rPr>
        <w:t>evaluaties zijn zo veel mogelijk gesystematiseerd en voldoen aan de richtlijnen van</w:t>
      </w:r>
      <w:r w:rsidR="008E5127">
        <w:rPr>
          <w:rFonts w:cs="Verdana,Italic"/>
          <w:i/>
          <w:iCs/>
          <w:sz w:val="20"/>
          <w:szCs w:val="20"/>
          <w:lang w:eastAsia="ja-JP"/>
        </w:rPr>
        <w:t xml:space="preserve"> </w:t>
      </w:r>
      <w:r>
        <w:rPr>
          <w:rFonts w:cs="Verdana"/>
          <w:szCs w:val="18"/>
          <w:lang w:eastAsia="ja-JP"/>
        </w:rPr>
        <w:t xml:space="preserve">de centrale evaluatie eenheid van de VN. </w:t>
      </w:r>
    </w:p>
    <w:p w14:paraId="7AADF65E" w14:textId="77777777" w:rsidR="0097294F" w:rsidRDefault="0097294F" w:rsidP="00312FA8"/>
    <w:p w14:paraId="1E653CE5" w14:textId="5CFFFFE3" w:rsidR="007560AB" w:rsidRPr="001343DD" w:rsidRDefault="00A94681" w:rsidP="00312FA8">
      <w:pPr>
        <w:rPr>
          <w:color w:val="000000" w:themeColor="text1"/>
        </w:rPr>
      </w:pPr>
      <w:r>
        <w:t xml:space="preserve">In </w:t>
      </w:r>
      <w:r w:rsidR="008423AD">
        <w:t>elk project</w:t>
      </w:r>
      <w:r>
        <w:t xml:space="preserve"> is</w:t>
      </w:r>
      <w:r w:rsidR="008423AD">
        <w:t xml:space="preserve"> </w:t>
      </w:r>
      <w:r w:rsidR="00D10DAA">
        <w:t xml:space="preserve">2 tot 3% van het budget gereserveerd voor evaluatie. </w:t>
      </w:r>
      <w:r w:rsidR="00622153">
        <w:t xml:space="preserve">De </w:t>
      </w:r>
      <w:r w:rsidR="00CB063E" w:rsidRPr="003D2C37">
        <w:rPr>
          <w:i/>
        </w:rPr>
        <w:t>Professional Peer Review</w:t>
      </w:r>
      <w:r w:rsidR="00622153">
        <w:t xml:space="preserve"> van UNODC concludeert dat de evaluatiefunctie binnen de organisatie voldoende onafhankelijk is</w:t>
      </w:r>
      <w:r>
        <w:t xml:space="preserve"> (2016)</w:t>
      </w:r>
      <w:r w:rsidR="00622153">
        <w:t xml:space="preserve">. </w:t>
      </w:r>
      <w:r w:rsidR="007560AB">
        <w:t xml:space="preserve">UNODC is een actief lid van de </w:t>
      </w:r>
      <w:r w:rsidR="007560AB" w:rsidRPr="001F648A">
        <w:rPr>
          <w:i/>
        </w:rPr>
        <w:t>UN</w:t>
      </w:r>
      <w:r w:rsidR="000B747D" w:rsidRPr="001F648A">
        <w:rPr>
          <w:i/>
        </w:rPr>
        <w:t xml:space="preserve"> </w:t>
      </w:r>
      <w:proofErr w:type="spellStart"/>
      <w:r w:rsidR="007560AB" w:rsidRPr="001F648A">
        <w:rPr>
          <w:i/>
        </w:rPr>
        <w:t>E</w:t>
      </w:r>
      <w:r w:rsidR="000B747D" w:rsidRPr="001F648A">
        <w:rPr>
          <w:i/>
        </w:rPr>
        <w:t>valutation</w:t>
      </w:r>
      <w:proofErr w:type="spellEnd"/>
      <w:r w:rsidR="000B747D" w:rsidRPr="001F648A">
        <w:rPr>
          <w:i/>
        </w:rPr>
        <w:t xml:space="preserve"> </w:t>
      </w:r>
      <w:r w:rsidR="007560AB" w:rsidRPr="001F648A">
        <w:rPr>
          <w:i/>
        </w:rPr>
        <w:t>G</w:t>
      </w:r>
      <w:r w:rsidR="000B747D" w:rsidRPr="001F648A">
        <w:rPr>
          <w:i/>
        </w:rPr>
        <w:t>roup</w:t>
      </w:r>
      <w:r w:rsidR="000B747D">
        <w:t xml:space="preserve"> (UNEG)</w:t>
      </w:r>
      <w:r w:rsidR="007560AB">
        <w:t>. Daarnaast wordt het mandaat van de IEU aangevuld met UNEG-richtlijnen. Vooral richtlijn 1.2, 1.3 en 3 zijn van belang.</w:t>
      </w:r>
      <w:r w:rsidR="00BB0687">
        <w:t xml:space="preserve"> </w:t>
      </w:r>
      <w:r>
        <w:rPr>
          <w:color w:val="000000" w:themeColor="text1"/>
        </w:rPr>
        <w:t>Deze beschrijven</w:t>
      </w:r>
      <w:r w:rsidRPr="001343DD">
        <w:rPr>
          <w:color w:val="000000" w:themeColor="text1"/>
        </w:rPr>
        <w:t xml:space="preserve"> </w:t>
      </w:r>
      <w:r>
        <w:rPr>
          <w:color w:val="000000" w:themeColor="text1"/>
        </w:rPr>
        <w:t xml:space="preserve">de </w:t>
      </w:r>
      <w:r w:rsidR="00980D11" w:rsidRPr="001343DD">
        <w:rPr>
          <w:color w:val="000000" w:themeColor="text1"/>
        </w:rPr>
        <w:t xml:space="preserve">periodieke review en financiering van </w:t>
      </w:r>
      <w:r>
        <w:rPr>
          <w:color w:val="000000" w:themeColor="text1"/>
        </w:rPr>
        <w:t xml:space="preserve">het </w:t>
      </w:r>
      <w:r w:rsidR="00980D11" w:rsidRPr="001343DD">
        <w:rPr>
          <w:color w:val="000000" w:themeColor="text1"/>
        </w:rPr>
        <w:t xml:space="preserve">evaluatiebeleid, </w:t>
      </w:r>
      <w:r>
        <w:rPr>
          <w:color w:val="000000" w:themeColor="text1"/>
        </w:rPr>
        <w:t xml:space="preserve">de </w:t>
      </w:r>
      <w:r w:rsidR="00980D11" w:rsidRPr="001343DD">
        <w:rPr>
          <w:color w:val="000000" w:themeColor="text1"/>
        </w:rPr>
        <w:t xml:space="preserve">planning en rapportage en </w:t>
      </w:r>
      <w:r>
        <w:rPr>
          <w:color w:val="000000" w:themeColor="text1"/>
        </w:rPr>
        <w:t xml:space="preserve">de benodigde competenties van </w:t>
      </w:r>
      <w:r w:rsidR="001343DD" w:rsidRPr="001343DD">
        <w:rPr>
          <w:color w:val="000000" w:themeColor="text1"/>
        </w:rPr>
        <w:t>medewerker</w:t>
      </w:r>
      <w:r>
        <w:rPr>
          <w:color w:val="000000" w:themeColor="text1"/>
        </w:rPr>
        <w:t>s</w:t>
      </w:r>
      <w:r w:rsidR="001343DD" w:rsidRPr="001343DD">
        <w:rPr>
          <w:color w:val="000000" w:themeColor="text1"/>
        </w:rPr>
        <w:t xml:space="preserve"> voor het uitvoeren van evaluaties. </w:t>
      </w:r>
    </w:p>
    <w:p w14:paraId="195169E1" w14:textId="77777777" w:rsidR="00133237" w:rsidRDefault="00133237" w:rsidP="00312FA8"/>
    <w:p w14:paraId="5C5E93B8" w14:textId="330D9CBD" w:rsidR="00133237" w:rsidRDefault="00CA1267" w:rsidP="00312FA8">
      <w:r>
        <w:t xml:space="preserve">Alle projecten van de UNODC worden elke 4 jaar geëvalueerd of in ieder geval 6 maanden voordat het project stopt. </w:t>
      </w:r>
      <w:r w:rsidR="00133237">
        <w:t xml:space="preserve">Er zijn twee soorten evaluaties: </w:t>
      </w:r>
      <w:r w:rsidR="00A94681">
        <w:t>diepte</w:t>
      </w:r>
      <w:r w:rsidR="00133237">
        <w:t xml:space="preserve"> evaluaties en onafhankelijke projectevaluaties. </w:t>
      </w:r>
      <w:r w:rsidR="00A94681">
        <w:t>Diepte</w:t>
      </w:r>
      <w:r>
        <w:t xml:space="preserve"> evaluaties zijn strategische evaluaties die relevant zijn voor de organisatie. Deze zijn gericht op een land, regio, thema, globale programma’s of </w:t>
      </w:r>
      <w:r w:rsidRPr="001F648A">
        <w:rPr>
          <w:i/>
        </w:rPr>
        <w:t>cross-</w:t>
      </w:r>
      <w:proofErr w:type="spellStart"/>
      <w:r w:rsidRPr="001F648A">
        <w:rPr>
          <w:i/>
        </w:rPr>
        <w:t>cutting</w:t>
      </w:r>
      <w:proofErr w:type="spellEnd"/>
      <w:r>
        <w:t xml:space="preserve"> onderwerpen. </w:t>
      </w:r>
      <w:r w:rsidR="00835596">
        <w:t>De IEU streeft naar 100</w:t>
      </w:r>
      <w:r w:rsidR="00A94681">
        <w:t>%</w:t>
      </w:r>
      <w:r w:rsidR="00835596">
        <w:t xml:space="preserve"> evaluatie van UNODC</w:t>
      </w:r>
      <w:r w:rsidR="00A94681">
        <w:t>-</w:t>
      </w:r>
      <w:r w:rsidR="00835596">
        <w:t xml:space="preserve">projecten en </w:t>
      </w:r>
      <w:r w:rsidR="00A94681">
        <w:t>-</w:t>
      </w:r>
      <w:r w:rsidR="00835596">
        <w:t>programma</w:t>
      </w:r>
      <w:r w:rsidR="008423AD">
        <w:t xml:space="preserve"> </w:t>
      </w:r>
      <w:r w:rsidR="008423AD" w:rsidRPr="001343DD">
        <w:rPr>
          <w:color w:val="000000" w:themeColor="text1"/>
        </w:rPr>
        <w:t>voor</w:t>
      </w:r>
      <w:r w:rsidR="001343DD" w:rsidRPr="001343DD">
        <w:rPr>
          <w:color w:val="000000" w:themeColor="text1"/>
        </w:rPr>
        <w:t xml:space="preserve"> 2017</w:t>
      </w:r>
      <w:r w:rsidR="00835596" w:rsidRPr="001343DD">
        <w:rPr>
          <w:color w:val="000000" w:themeColor="text1"/>
        </w:rPr>
        <w:t xml:space="preserve">. </w:t>
      </w:r>
      <w:r w:rsidR="00835596">
        <w:t>De reikwijdte van de evaluaties is beperkt tot</w:t>
      </w:r>
      <w:r w:rsidR="00114B8E">
        <w:t xml:space="preserve"> individuele</w:t>
      </w:r>
      <w:r w:rsidR="00835596">
        <w:t xml:space="preserve"> programma’s en projecten en beslaat, mede door beperkte</w:t>
      </w:r>
      <w:r w:rsidR="007828B3">
        <w:t xml:space="preserve"> </w:t>
      </w:r>
      <w:proofErr w:type="spellStart"/>
      <w:r w:rsidR="007828B3" w:rsidRPr="001F648A">
        <w:rPr>
          <w:i/>
        </w:rPr>
        <w:t>core</w:t>
      </w:r>
      <w:proofErr w:type="spellEnd"/>
      <w:r w:rsidR="00835596" w:rsidRPr="001F648A">
        <w:rPr>
          <w:i/>
        </w:rPr>
        <w:t xml:space="preserve"> </w:t>
      </w:r>
      <w:proofErr w:type="spellStart"/>
      <w:r w:rsidR="00835596" w:rsidRPr="001F648A">
        <w:rPr>
          <w:i/>
        </w:rPr>
        <w:t>funding</w:t>
      </w:r>
      <w:proofErr w:type="spellEnd"/>
      <w:r w:rsidR="00835596">
        <w:t xml:space="preserve">, </w:t>
      </w:r>
      <w:r w:rsidR="005244A3">
        <w:t xml:space="preserve">de wijze waarop UNODC in den brede invulling geeft aan hun mandaat. </w:t>
      </w:r>
    </w:p>
    <w:p w14:paraId="6ECEB777" w14:textId="77777777" w:rsidR="007C6DB1" w:rsidRDefault="007C6DB1" w:rsidP="00D06E49"/>
    <w:p w14:paraId="594FB6AC" w14:textId="25DC2021" w:rsidR="00BB0687" w:rsidRPr="006D0625" w:rsidRDefault="007C6DB1" w:rsidP="007C6DB1">
      <w:pPr>
        <w:rPr>
          <w:szCs w:val="18"/>
        </w:rPr>
      </w:pPr>
      <w:r w:rsidRPr="006D0625">
        <w:rPr>
          <w:szCs w:val="18"/>
        </w:rPr>
        <w:t xml:space="preserve">IEU zorgt voor een systematische follow-up met betrekking tot de implementatie van aanbevelingen, inclusief </w:t>
      </w:r>
      <w:r w:rsidR="00925C95">
        <w:rPr>
          <w:szCs w:val="18"/>
        </w:rPr>
        <w:t>tijds</w:t>
      </w:r>
      <w:r w:rsidRPr="006D0625">
        <w:rPr>
          <w:szCs w:val="18"/>
        </w:rPr>
        <w:t xml:space="preserve">lijnen voor implementatie. Na </w:t>
      </w:r>
      <w:r>
        <w:rPr>
          <w:szCs w:val="18"/>
        </w:rPr>
        <w:t>een evaluatie</w:t>
      </w:r>
      <w:r w:rsidRPr="006D0625">
        <w:rPr>
          <w:szCs w:val="18"/>
        </w:rPr>
        <w:t xml:space="preserve"> worden UNODC</w:t>
      </w:r>
      <w:r w:rsidR="000710E9">
        <w:rPr>
          <w:szCs w:val="18"/>
        </w:rPr>
        <w:t>-</w:t>
      </w:r>
      <w:r w:rsidRPr="006D0625">
        <w:rPr>
          <w:szCs w:val="18"/>
        </w:rPr>
        <w:t xml:space="preserve">Managers gevraagd om een </w:t>
      </w:r>
      <w:r w:rsidRPr="006D0625">
        <w:rPr>
          <w:i/>
          <w:szCs w:val="18"/>
        </w:rPr>
        <w:t xml:space="preserve">Evaluation Follow-up Plan </w:t>
      </w:r>
      <w:r w:rsidRPr="006D0625">
        <w:rPr>
          <w:szCs w:val="18"/>
        </w:rPr>
        <w:t>(EFP)</w:t>
      </w:r>
      <w:r w:rsidR="00026B67">
        <w:rPr>
          <w:szCs w:val="18"/>
        </w:rPr>
        <w:t xml:space="preserve"> </w:t>
      </w:r>
      <w:r w:rsidR="00925C95">
        <w:rPr>
          <w:szCs w:val="18"/>
        </w:rPr>
        <w:t>t</w:t>
      </w:r>
      <w:r w:rsidR="00026B67">
        <w:rPr>
          <w:szCs w:val="18"/>
        </w:rPr>
        <w:t>e schrijven. Hierin</w:t>
      </w:r>
      <w:r w:rsidRPr="006D0625">
        <w:rPr>
          <w:szCs w:val="18"/>
        </w:rPr>
        <w:t xml:space="preserve"> wordt aangegeven welke aanbevelingen zijn geaccepteerd, gedeeltelijk of volledig afgewezen en welke actie zal worden ondernomen voor implementatie</w:t>
      </w:r>
      <w:r w:rsidR="004016EF">
        <w:rPr>
          <w:szCs w:val="18"/>
        </w:rPr>
        <w:t xml:space="preserve"> </w:t>
      </w:r>
      <w:r w:rsidR="001343DD" w:rsidRPr="001343DD">
        <w:rPr>
          <w:color w:val="000000" w:themeColor="text1"/>
          <w:szCs w:val="18"/>
        </w:rPr>
        <w:t>van de aanbevelingen.</w:t>
      </w:r>
      <w:r w:rsidRPr="004016EF">
        <w:rPr>
          <w:color w:val="C00000"/>
          <w:szCs w:val="18"/>
        </w:rPr>
        <w:t xml:space="preserve"> </w:t>
      </w:r>
      <w:proofErr w:type="spellStart"/>
      <w:r w:rsidRPr="006D0625">
        <w:rPr>
          <w:szCs w:val="18"/>
        </w:rPr>
        <w:t>EFP</w:t>
      </w:r>
      <w:r w:rsidR="00C545D5">
        <w:rPr>
          <w:szCs w:val="18"/>
        </w:rPr>
        <w:t>’</w:t>
      </w:r>
      <w:r w:rsidRPr="006D0625">
        <w:rPr>
          <w:szCs w:val="18"/>
        </w:rPr>
        <w:t>s</w:t>
      </w:r>
      <w:proofErr w:type="spellEnd"/>
      <w:r w:rsidRPr="006D0625">
        <w:rPr>
          <w:szCs w:val="18"/>
        </w:rPr>
        <w:t xml:space="preserve"> zijn </w:t>
      </w:r>
      <w:r>
        <w:rPr>
          <w:szCs w:val="18"/>
        </w:rPr>
        <w:t>sinds 2014</w:t>
      </w:r>
      <w:r w:rsidRPr="006D0625">
        <w:rPr>
          <w:szCs w:val="18"/>
        </w:rPr>
        <w:t xml:space="preserve"> verplicht voor zowel </w:t>
      </w:r>
      <w:r w:rsidR="00C545D5">
        <w:rPr>
          <w:szCs w:val="18"/>
        </w:rPr>
        <w:t>diepte</w:t>
      </w:r>
      <w:r w:rsidRPr="006D0625">
        <w:rPr>
          <w:szCs w:val="18"/>
        </w:rPr>
        <w:t xml:space="preserve"> evaluaties als </w:t>
      </w:r>
      <w:r>
        <w:rPr>
          <w:szCs w:val="18"/>
        </w:rPr>
        <w:t xml:space="preserve">voor </w:t>
      </w:r>
      <w:r w:rsidRPr="006D0625">
        <w:rPr>
          <w:szCs w:val="18"/>
        </w:rPr>
        <w:t>onafhankelijke project</w:t>
      </w:r>
      <w:r w:rsidR="00C545D5">
        <w:rPr>
          <w:szCs w:val="18"/>
        </w:rPr>
        <w:t>-</w:t>
      </w:r>
      <w:r w:rsidRPr="006D0625">
        <w:rPr>
          <w:szCs w:val="18"/>
        </w:rPr>
        <w:t>evaluaties</w:t>
      </w:r>
      <w:r w:rsidR="00C545D5">
        <w:rPr>
          <w:szCs w:val="18"/>
        </w:rPr>
        <w:t>. De diepte</w:t>
      </w:r>
      <w:r w:rsidRPr="006D0625">
        <w:rPr>
          <w:szCs w:val="18"/>
        </w:rPr>
        <w:t xml:space="preserve"> evaluaties worden in </w:t>
      </w:r>
      <w:proofErr w:type="spellStart"/>
      <w:r w:rsidR="00C545D5">
        <w:rPr>
          <w:szCs w:val="18"/>
        </w:rPr>
        <w:t>FinGov</w:t>
      </w:r>
      <w:proofErr w:type="spellEnd"/>
      <w:r w:rsidR="00C545D5" w:rsidRPr="006D0625">
        <w:rPr>
          <w:szCs w:val="18"/>
        </w:rPr>
        <w:t xml:space="preserve"> </w:t>
      </w:r>
      <w:r w:rsidRPr="006D0625">
        <w:rPr>
          <w:szCs w:val="18"/>
        </w:rPr>
        <w:t>gepresenteerd</w:t>
      </w:r>
      <w:r w:rsidR="00C545D5">
        <w:rPr>
          <w:szCs w:val="18"/>
        </w:rPr>
        <w:t>.</w:t>
      </w:r>
      <w:r w:rsidRPr="006D0625">
        <w:rPr>
          <w:szCs w:val="18"/>
        </w:rPr>
        <w:t>. Een speciale database maakt gegevens over de implementatie van aanbevelingen en ‘</w:t>
      </w:r>
      <w:proofErr w:type="spellStart"/>
      <w:r w:rsidRPr="001F648A">
        <w:rPr>
          <w:i/>
          <w:szCs w:val="18"/>
        </w:rPr>
        <w:t>lessons</w:t>
      </w:r>
      <w:proofErr w:type="spellEnd"/>
      <w:r w:rsidRPr="001F648A">
        <w:rPr>
          <w:i/>
          <w:szCs w:val="18"/>
        </w:rPr>
        <w:t xml:space="preserve"> </w:t>
      </w:r>
      <w:proofErr w:type="spellStart"/>
      <w:r w:rsidRPr="001F648A">
        <w:rPr>
          <w:i/>
          <w:szCs w:val="18"/>
        </w:rPr>
        <w:t>learned</w:t>
      </w:r>
      <w:proofErr w:type="spellEnd"/>
      <w:r w:rsidRPr="001F648A">
        <w:rPr>
          <w:i/>
          <w:szCs w:val="18"/>
        </w:rPr>
        <w:t>’</w:t>
      </w:r>
      <w:r w:rsidRPr="006D0625">
        <w:rPr>
          <w:szCs w:val="18"/>
        </w:rPr>
        <w:t xml:space="preserve"> openbaar. Wel zou er voor lidstaten meer duidelijkheid moeten </w:t>
      </w:r>
      <w:r w:rsidR="00211B8D">
        <w:rPr>
          <w:szCs w:val="18"/>
        </w:rPr>
        <w:t xml:space="preserve">komen </w:t>
      </w:r>
      <w:r w:rsidR="00A01CA0">
        <w:rPr>
          <w:szCs w:val="18"/>
        </w:rPr>
        <w:t xml:space="preserve">over de uitvoering van de </w:t>
      </w:r>
      <w:proofErr w:type="spellStart"/>
      <w:r w:rsidR="00A01CA0">
        <w:rPr>
          <w:szCs w:val="18"/>
        </w:rPr>
        <w:t>EFP</w:t>
      </w:r>
      <w:r w:rsidR="001F648A">
        <w:rPr>
          <w:szCs w:val="18"/>
        </w:rPr>
        <w:t>’</w:t>
      </w:r>
      <w:r w:rsidR="00A01CA0">
        <w:rPr>
          <w:szCs w:val="18"/>
        </w:rPr>
        <w:t>s</w:t>
      </w:r>
      <w:proofErr w:type="spellEnd"/>
      <w:r w:rsidR="00A01CA0">
        <w:rPr>
          <w:szCs w:val="18"/>
        </w:rPr>
        <w:t>.</w:t>
      </w:r>
    </w:p>
    <w:p w14:paraId="7AA77542" w14:textId="77777777" w:rsidR="003A32D7" w:rsidRDefault="003A32D7" w:rsidP="00326699"/>
    <w:p w14:paraId="64CA748D" w14:textId="3FB29B31" w:rsidR="00FF3D58" w:rsidRPr="003D2C37" w:rsidRDefault="007828B3" w:rsidP="00FF3D58">
      <w:pPr>
        <w:pStyle w:val="NormalWeb"/>
        <w:rPr>
          <w:rFonts w:ascii="Times New Roman" w:hAnsi="Times New Roman"/>
          <w:sz w:val="22"/>
          <w:szCs w:val="22"/>
        </w:rPr>
      </w:pPr>
      <w:r>
        <w:lastRenderedPageBreak/>
        <w:t>Afgelopen periode is één voor Nederland belangrijk project</w:t>
      </w:r>
      <w:r w:rsidR="00A66A07">
        <w:t xml:space="preserve"> door IEU</w:t>
      </w:r>
      <w:r>
        <w:t xml:space="preserve"> </w:t>
      </w:r>
      <w:r w:rsidR="00A66A07">
        <w:t>geëvalueerd</w:t>
      </w:r>
      <w:r>
        <w:t xml:space="preserve">. </w:t>
      </w:r>
      <w:r w:rsidR="00A66A07">
        <w:t>H</w:t>
      </w:r>
      <w:r w:rsidR="00CA2B89">
        <w:t xml:space="preserve">et </w:t>
      </w:r>
      <w:proofErr w:type="spellStart"/>
      <w:r w:rsidR="00CB063E" w:rsidRPr="003D2C37">
        <w:rPr>
          <w:i/>
        </w:rPr>
        <w:t>Maritime</w:t>
      </w:r>
      <w:proofErr w:type="spellEnd"/>
      <w:r w:rsidR="00CB063E" w:rsidRPr="003D2C37">
        <w:rPr>
          <w:i/>
        </w:rPr>
        <w:t xml:space="preserve"> Crime </w:t>
      </w:r>
      <w:proofErr w:type="spellStart"/>
      <w:r w:rsidR="00CB063E" w:rsidRPr="003D2C37">
        <w:rPr>
          <w:i/>
        </w:rPr>
        <w:t>Programm</w:t>
      </w:r>
      <w:r w:rsidR="001F648A">
        <w:rPr>
          <w:i/>
        </w:rPr>
        <w:t>e</w:t>
      </w:r>
      <w:proofErr w:type="spellEnd"/>
      <w:r w:rsidR="001F648A">
        <w:rPr>
          <w:i/>
        </w:rPr>
        <w:t xml:space="preserve"> </w:t>
      </w:r>
      <w:r w:rsidR="00A66A07">
        <w:t>is in 2015 geëvalueerd</w:t>
      </w:r>
      <w:r w:rsidR="00CA2B89">
        <w:t>.</w:t>
      </w:r>
      <w:r w:rsidR="00BB0687">
        <w:t xml:space="preserve"> </w:t>
      </w:r>
      <w:r w:rsidR="00CA2B89">
        <w:t>Nederland heeft 7 miljoen USD aan dit project</w:t>
      </w:r>
      <w:r w:rsidR="00A66A07">
        <w:t xml:space="preserve"> bijgedragen</w:t>
      </w:r>
      <w:r w:rsidR="00CA2B89">
        <w:t xml:space="preserve">. Uit de evaluatie blijkt dat het project (financieel) </w:t>
      </w:r>
      <w:r w:rsidR="00A66A07">
        <w:t>efficiënt</w:t>
      </w:r>
      <w:r w:rsidR="00CA2B89">
        <w:t xml:space="preserve"> is uitgevoerd en dat een groot aantal van de vooraf bepaalde </w:t>
      </w:r>
      <w:r w:rsidR="00A66A07">
        <w:t xml:space="preserve">resultaten </w:t>
      </w:r>
      <w:r w:rsidR="00CA2B89">
        <w:t>is geleverd</w:t>
      </w:r>
      <w:r w:rsidR="00057A50">
        <w:t xml:space="preserve"> zoals het bouwen</w:t>
      </w:r>
      <w:r w:rsidR="00CA2B89">
        <w:t xml:space="preserve"> en opknappen van gevangenissen, van rechtbanken in de buurt van gevangenissen</w:t>
      </w:r>
      <w:r w:rsidR="00057A50">
        <w:t xml:space="preserve"> en </w:t>
      </w:r>
      <w:r w:rsidR="00CA2B89">
        <w:t xml:space="preserve"> het trainen van officieren van justitie en politie. </w:t>
      </w:r>
      <w:proofErr w:type="spellStart"/>
      <w:r w:rsidR="00CB063E" w:rsidRPr="00A01CA0">
        <w:rPr>
          <w:lang w:val="en-US"/>
        </w:rPr>
        <w:t>Een</w:t>
      </w:r>
      <w:proofErr w:type="spellEnd"/>
      <w:r w:rsidR="00CB063E" w:rsidRPr="00A01CA0">
        <w:rPr>
          <w:lang w:val="en-US"/>
        </w:rPr>
        <w:t xml:space="preserve"> relevant punt </w:t>
      </w:r>
      <w:proofErr w:type="spellStart"/>
      <w:r w:rsidR="00211B8D" w:rsidRPr="00A01CA0">
        <w:rPr>
          <w:lang w:val="en-US"/>
        </w:rPr>
        <w:t>d</w:t>
      </w:r>
      <w:r w:rsidR="00CB063E" w:rsidRPr="00A01CA0">
        <w:rPr>
          <w:lang w:val="en-US"/>
        </w:rPr>
        <w:t>at</w:t>
      </w:r>
      <w:proofErr w:type="spellEnd"/>
      <w:r w:rsidR="00CB063E" w:rsidRPr="00A01CA0">
        <w:rPr>
          <w:lang w:val="en-US"/>
        </w:rPr>
        <w:t xml:space="preserve"> </w:t>
      </w:r>
      <w:proofErr w:type="spellStart"/>
      <w:r w:rsidR="00CB063E" w:rsidRPr="00A01CA0">
        <w:rPr>
          <w:lang w:val="en-US"/>
        </w:rPr>
        <w:t>naar</w:t>
      </w:r>
      <w:proofErr w:type="spellEnd"/>
      <w:r w:rsidR="00CB063E" w:rsidRPr="00A01CA0">
        <w:rPr>
          <w:lang w:val="en-US"/>
        </w:rPr>
        <w:t xml:space="preserve"> </w:t>
      </w:r>
      <w:proofErr w:type="spellStart"/>
      <w:r w:rsidR="00CB063E" w:rsidRPr="00A01CA0">
        <w:rPr>
          <w:lang w:val="en-US"/>
        </w:rPr>
        <w:t>voren</w:t>
      </w:r>
      <w:proofErr w:type="spellEnd"/>
      <w:r w:rsidR="00CB063E" w:rsidRPr="00A01CA0">
        <w:rPr>
          <w:lang w:val="en-US"/>
        </w:rPr>
        <w:t xml:space="preserve"> </w:t>
      </w:r>
      <w:proofErr w:type="spellStart"/>
      <w:r w:rsidR="00CB063E" w:rsidRPr="00A01CA0">
        <w:rPr>
          <w:lang w:val="en-US"/>
        </w:rPr>
        <w:t>komt</w:t>
      </w:r>
      <w:proofErr w:type="spellEnd"/>
      <w:r w:rsidR="00CB063E" w:rsidRPr="00A01CA0">
        <w:rPr>
          <w:lang w:val="en-US"/>
        </w:rPr>
        <w:t xml:space="preserve"> </w:t>
      </w:r>
      <w:proofErr w:type="spellStart"/>
      <w:r w:rsidR="00CB063E" w:rsidRPr="00A01CA0">
        <w:rPr>
          <w:lang w:val="en-US"/>
        </w:rPr>
        <w:t>uit</w:t>
      </w:r>
      <w:proofErr w:type="spellEnd"/>
      <w:r w:rsidR="00CB063E" w:rsidRPr="00A01CA0">
        <w:rPr>
          <w:lang w:val="en-US"/>
        </w:rPr>
        <w:t xml:space="preserve"> de </w:t>
      </w:r>
      <w:proofErr w:type="spellStart"/>
      <w:r w:rsidR="00CB063E" w:rsidRPr="00A01CA0">
        <w:rPr>
          <w:lang w:val="en-US"/>
        </w:rPr>
        <w:t>evaluatie</w:t>
      </w:r>
      <w:proofErr w:type="spellEnd"/>
      <w:r w:rsidR="00CB063E" w:rsidRPr="00A01CA0">
        <w:rPr>
          <w:szCs w:val="18"/>
          <w:lang w:val="en-US"/>
        </w:rPr>
        <w:t>: “</w:t>
      </w:r>
      <w:r w:rsidR="00CB063E" w:rsidRPr="001F648A">
        <w:rPr>
          <w:i/>
          <w:szCs w:val="18"/>
          <w:lang w:val="en-US"/>
        </w:rPr>
        <w:t xml:space="preserve">The ability to deliver results </w:t>
      </w:r>
      <w:r w:rsidR="00057A50" w:rsidRPr="001F648A">
        <w:rPr>
          <w:i/>
          <w:szCs w:val="18"/>
          <w:lang w:val="en-US"/>
        </w:rPr>
        <w:t>‘</w:t>
      </w:r>
      <w:r w:rsidR="00CB063E" w:rsidRPr="001F648A">
        <w:rPr>
          <w:i/>
          <w:szCs w:val="18"/>
          <w:lang w:val="en-US"/>
        </w:rPr>
        <w:t>on the ground’ is constantly highlighted by GMCP beneficiaries, donors and partners alike</w:t>
      </w:r>
      <w:r w:rsidR="00CB063E" w:rsidRPr="00A01CA0">
        <w:rPr>
          <w:szCs w:val="18"/>
          <w:lang w:val="en-US"/>
        </w:rPr>
        <w:t>.”</w:t>
      </w:r>
      <w:r w:rsidR="00057A50" w:rsidRPr="00A01CA0">
        <w:rPr>
          <w:szCs w:val="18"/>
          <w:lang w:val="en-US"/>
        </w:rPr>
        <w:t xml:space="preserve"> </w:t>
      </w:r>
      <w:r w:rsidR="00057A50">
        <w:rPr>
          <w:szCs w:val="18"/>
        </w:rPr>
        <w:t>De N</w:t>
      </w:r>
      <w:r w:rsidR="00CB063E" w:rsidRPr="003D2C37">
        <w:rPr>
          <w:szCs w:val="18"/>
        </w:rPr>
        <w:t>ederlandse ervaring in deze regio</w:t>
      </w:r>
      <w:r w:rsidR="00057A50">
        <w:rPr>
          <w:szCs w:val="18"/>
        </w:rPr>
        <w:t>,</w:t>
      </w:r>
      <w:r w:rsidR="00CB063E" w:rsidRPr="003D2C37">
        <w:rPr>
          <w:szCs w:val="18"/>
        </w:rPr>
        <w:t xml:space="preserve"> dat UNODC een betrouwbare en hands-on </w:t>
      </w:r>
      <w:proofErr w:type="spellStart"/>
      <w:r w:rsidR="00CB063E" w:rsidRPr="001F648A">
        <w:rPr>
          <w:i/>
          <w:szCs w:val="18"/>
        </w:rPr>
        <w:t>implementing</w:t>
      </w:r>
      <w:proofErr w:type="spellEnd"/>
      <w:r w:rsidR="00CB063E" w:rsidRPr="003D2C37">
        <w:rPr>
          <w:szCs w:val="18"/>
        </w:rPr>
        <w:t xml:space="preserve"> partner is</w:t>
      </w:r>
      <w:r w:rsidR="00057A50">
        <w:rPr>
          <w:szCs w:val="18"/>
        </w:rPr>
        <w:t xml:space="preserve">, </w:t>
      </w:r>
      <w:r w:rsidR="00925C95">
        <w:rPr>
          <w:szCs w:val="18"/>
        </w:rPr>
        <w:t xml:space="preserve">wat </w:t>
      </w:r>
      <w:r w:rsidR="001F648A">
        <w:rPr>
          <w:szCs w:val="18"/>
        </w:rPr>
        <w:t>overeenkomt</w:t>
      </w:r>
      <w:r w:rsidR="00057A50">
        <w:rPr>
          <w:szCs w:val="18"/>
        </w:rPr>
        <w:t xml:space="preserve"> met de evaluatie van het project</w:t>
      </w:r>
      <w:r w:rsidR="00CB063E" w:rsidRPr="003D2C37">
        <w:rPr>
          <w:szCs w:val="18"/>
        </w:rPr>
        <w:t>.</w:t>
      </w:r>
      <w:r w:rsidR="00CB063E" w:rsidRPr="003D2C37">
        <w:rPr>
          <w:rFonts w:ascii="Times New Roman" w:hAnsi="Times New Roman"/>
          <w:sz w:val="22"/>
          <w:szCs w:val="22"/>
        </w:rPr>
        <w:t xml:space="preserve"> </w:t>
      </w:r>
    </w:p>
    <w:p w14:paraId="10A7C728" w14:textId="77777777" w:rsidR="004C1123" w:rsidRPr="003D2C37" w:rsidRDefault="004C1123" w:rsidP="00FF3D58">
      <w:pPr>
        <w:pStyle w:val="NormalWeb"/>
      </w:pPr>
    </w:p>
    <w:p w14:paraId="123E9EB5" w14:textId="77777777" w:rsidR="00FF3D58" w:rsidRDefault="00E06931" w:rsidP="00FF3D58">
      <w:pPr>
        <w:pStyle w:val="NormalWeb"/>
      </w:pPr>
      <w:r>
        <w:t xml:space="preserve">Tot slot blijkt uit een rapport van de </w:t>
      </w:r>
      <w:r w:rsidR="00CB063E" w:rsidRPr="002531C1">
        <w:rPr>
          <w:i/>
        </w:rPr>
        <w:t xml:space="preserve">Joint </w:t>
      </w:r>
      <w:proofErr w:type="spellStart"/>
      <w:r w:rsidR="00CB063E" w:rsidRPr="002531C1">
        <w:rPr>
          <w:i/>
        </w:rPr>
        <w:t>Inspection</w:t>
      </w:r>
      <w:proofErr w:type="spellEnd"/>
      <w:r w:rsidR="00CB063E" w:rsidRPr="002531C1">
        <w:rPr>
          <w:i/>
        </w:rPr>
        <w:t xml:space="preserve"> Unit</w:t>
      </w:r>
      <w:r>
        <w:t xml:space="preserve"> dat UNODC </w:t>
      </w:r>
      <w:r w:rsidR="004016EF">
        <w:t>on</w:t>
      </w:r>
      <w:r>
        <w:t xml:space="preserve">voldoende </w:t>
      </w:r>
    </w:p>
    <w:p w14:paraId="44D8AB41" w14:textId="09552201" w:rsidR="00BB0687" w:rsidRDefault="00E06931" w:rsidP="00FF3D58">
      <w:pPr>
        <w:pStyle w:val="NormalWeb"/>
      </w:pPr>
      <w:r>
        <w:t>invulling heeft gegeven aan de aanbevelingen</w:t>
      </w:r>
      <w:r w:rsidR="00BB0687">
        <w:t xml:space="preserve"> </w:t>
      </w:r>
      <w:r>
        <w:t>die deze Unit in de periode 2006</w:t>
      </w:r>
      <w:r w:rsidR="004C1123">
        <w:t>-</w:t>
      </w:r>
      <w:r>
        <w:t xml:space="preserve">2016. Van de 254 aanbevelingen had UNODC er slechts 33 </w:t>
      </w:r>
      <w:r w:rsidR="00B47068">
        <w:t>geïmplementeerd</w:t>
      </w:r>
      <w:r>
        <w:t>.</w:t>
      </w:r>
    </w:p>
    <w:p w14:paraId="13E7B4E8" w14:textId="7E7E3623" w:rsidR="004016EF" w:rsidRPr="00FF3D58" w:rsidRDefault="00211B8D" w:rsidP="00FF3D58">
      <w:pPr>
        <w:pStyle w:val="NormalWeb"/>
        <w:rPr>
          <w:rFonts w:ascii="Times New Roman" w:hAnsi="Times New Roman"/>
          <w:sz w:val="24"/>
        </w:rPr>
      </w:pPr>
      <w:r>
        <w:t xml:space="preserve">Bij navraag bij de UNODC waar deze aanbevelingen dan precies over gingen, bleek dat het ging om zaken die vanuit het hoofdkantoor in NY geregeld moeten worden, die zij niet eigenstandig mogen aanpassen. </w:t>
      </w:r>
    </w:p>
    <w:p w14:paraId="46313A80" w14:textId="77777777" w:rsidR="00E06931" w:rsidRDefault="00E06931" w:rsidP="003266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3"/>
        <w:gridCol w:w="953"/>
      </w:tblGrid>
      <w:tr w:rsidR="002A310E" w:rsidRPr="00EA0AA8" w14:paraId="622A5C5A" w14:textId="77777777" w:rsidTr="00B06CE6">
        <w:tc>
          <w:tcPr>
            <w:tcW w:w="6912" w:type="dxa"/>
            <w:tcBorders>
              <w:top w:val="single" w:sz="12" w:space="0" w:color="auto"/>
              <w:left w:val="single" w:sz="12" w:space="0" w:color="auto"/>
              <w:bottom w:val="single" w:sz="12" w:space="0" w:color="auto"/>
            </w:tcBorders>
            <w:shd w:val="clear" w:color="auto" w:fill="D0CECE"/>
          </w:tcPr>
          <w:p w14:paraId="65418280"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0B29BCBF" w14:textId="77777777" w:rsidR="002A310E" w:rsidRPr="00EA0AA8" w:rsidRDefault="002A310E" w:rsidP="00382AE3">
            <w:pPr>
              <w:rPr>
                <w:b/>
              </w:rPr>
            </w:pPr>
            <w:r w:rsidRPr="00EA0AA8">
              <w:rPr>
                <w:b/>
              </w:rPr>
              <w:t>Score</w:t>
            </w:r>
          </w:p>
        </w:tc>
      </w:tr>
      <w:tr w:rsidR="002A310E" w14:paraId="233FCA0C" w14:textId="77777777" w:rsidTr="00382AE3">
        <w:tc>
          <w:tcPr>
            <w:tcW w:w="6912" w:type="dxa"/>
            <w:tcBorders>
              <w:top w:val="single" w:sz="12" w:space="0" w:color="auto"/>
              <w:left w:val="single" w:sz="12" w:space="0" w:color="auto"/>
            </w:tcBorders>
            <w:shd w:val="clear" w:color="auto" w:fill="auto"/>
          </w:tcPr>
          <w:p w14:paraId="0D488F74" w14:textId="77777777" w:rsidR="002A310E" w:rsidRDefault="008A646F" w:rsidP="00382AE3">
            <w:r>
              <w:t>Helder vastgelegd evaluatiebeleid</w:t>
            </w:r>
          </w:p>
        </w:tc>
        <w:tc>
          <w:tcPr>
            <w:tcW w:w="955" w:type="dxa"/>
            <w:tcBorders>
              <w:top w:val="single" w:sz="12" w:space="0" w:color="auto"/>
              <w:right w:val="single" w:sz="12" w:space="0" w:color="auto"/>
            </w:tcBorders>
            <w:shd w:val="clear" w:color="auto" w:fill="auto"/>
          </w:tcPr>
          <w:p w14:paraId="44D9368B" w14:textId="77777777" w:rsidR="002A310E" w:rsidRDefault="00622153" w:rsidP="004016EF">
            <w:r>
              <w:t>4</w:t>
            </w:r>
            <w:r w:rsidR="004016EF">
              <w:t xml:space="preserve"> </w:t>
            </w:r>
          </w:p>
        </w:tc>
      </w:tr>
      <w:tr w:rsidR="002A310E" w14:paraId="628AA102" w14:textId="77777777" w:rsidTr="00382AE3">
        <w:tc>
          <w:tcPr>
            <w:tcW w:w="6912" w:type="dxa"/>
            <w:tcBorders>
              <w:left w:val="single" w:sz="12" w:space="0" w:color="auto"/>
            </w:tcBorders>
            <w:shd w:val="clear" w:color="auto" w:fill="auto"/>
          </w:tcPr>
          <w:p w14:paraId="4937E931" w14:textId="77777777" w:rsidR="002A310E" w:rsidRDefault="008A646F" w:rsidP="00382AE3">
            <w:r>
              <w:t>Inrichting evaluatiefunctie</w:t>
            </w:r>
          </w:p>
        </w:tc>
        <w:tc>
          <w:tcPr>
            <w:tcW w:w="955" w:type="dxa"/>
            <w:tcBorders>
              <w:right w:val="single" w:sz="12" w:space="0" w:color="auto"/>
            </w:tcBorders>
            <w:shd w:val="clear" w:color="auto" w:fill="auto"/>
          </w:tcPr>
          <w:p w14:paraId="16E73A04" w14:textId="77777777" w:rsidR="002A310E" w:rsidRDefault="00875F96" w:rsidP="00382AE3">
            <w:r>
              <w:t>3</w:t>
            </w:r>
          </w:p>
        </w:tc>
      </w:tr>
      <w:tr w:rsidR="002A310E" w14:paraId="184ED74D" w14:textId="77777777" w:rsidTr="00382AE3">
        <w:tc>
          <w:tcPr>
            <w:tcW w:w="6912" w:type="dxa"/>
            <w:tcBorders>
              <w:left w:val="single" w:sz="12" w:space="0" w:color="auto"/>
            </w:tcBorders>
            <w:shd w:val="clear" w:color="auto" w:fill="auto"/>
          </w:tcPr>
          <w:p w14:paraId="0DBA7AD9" w14:textId="77777777" w:rsidR="002A310E" w:rsidRDefault="008A646F" w:rsidP="00382AE3">
            <w:r>
              <w:t>Onafhankelijkheid eval</w:t>
            </w:r>
            <w:r w:rsidR="00537DB3">
              <w:t>uatie-</w:t>
            </w:r>
            <w:r>
              <w:t>eenheid</w:t>
            </w:r>
          </w:p>
        </w:tc>
        <w:tc>
          <w:tcPr>
            <w:tcW w:w="955" w:type="dxa"/>
            <w:tcBorders>
              <w:right w:val="single" w:sz="12" w:space="0" w:color="auto"/>
            </w:tcBorders>
            <w:shd w:val="clear" w:color="auto" w:fill="auto"/>
          </w:tcPr>
          <w:p w14:paraId="5434F02B" w14:textId="77777777" w:rsidR="002A310E" w:rsidRDefault="00622153" w:rsidP="00382AE3">
            <w:r>
              <w:t>3</w:t>
            </w:r>
          </w:p>
        </w:tc>
      </w:tr>
      <w:tr w:rsidR="00AA4C2B" w14:paraId="168D6CA3" w14:textId="77777777" w:rsidTr="00382AE3">
        <w:tc>
          <w:tcPr>
            <w:tcW w:w="6912" w:type="dxa"/>
            <w:tcBorders>
              <w:left w:val="single" w:sz="12" w:space="0" w:color="auto"/>
            </w:tcBorders>
            <w:shd w:val="clear" w:color="auto" w:fill="auto"/>
          </w:tcPr>
          <w:p w14:paraId="3286A1A9" w14:textId="77777777" w:rsidR="00AA4C2B" w:rsidRDefault="00AA4C2B" w:rsidP="00382AE3">
            <w:r>
              <w:t>Reikwijdte en relevantie evaluaties</w:t>
            </w:r>
          </w:p>
        </w:tc>
        <w:tc>
          <w:tcPr>
            <w:tcW w:w="955" w:type="dxa"/>
            <w:tcBorders>
              <w:right w:val="single" w:sz="12" w:space="0" w:color="auto"/>
            </w:tcBorders>
            <w:shd w:val="clear" w:color="auto" w:fill="auto"/>
          </w:tcPr>
          <w:p w14:paraId="274821C5" w14:textId="77777777" w:rsidR="00AA4C2B" w:rsidRDefault="00622153" w:rsidP="00382AE3">
            <w:r>
              <w:t>3</w:t>
            </w:r>
          </w:p>
        </w:tc>
      </w:tr>
      <w:tr w:rsidR="002A310E" w14:paraId="38ED627F" w14:textId="77777777" w:rsidTr="00382AE3">
        <w:tc>
          <w:tcPr>
            <w:tcW w:w="6912" w:type="dxa"/>
            <w:tcBorders>
              <w:left w:val="single" w:sz="12" w:space="0" w:color="auto"/>
              <w:bottom w:val="single" w:sz="12" w:space="0" w:color="auto"/>
            </w:tcBorders>
            <w:shd w:val="clear" w:color="auto" w:fill="auto"/>
          </w:tcPr>
          <w:p w14:paraId="372790BF" w14:textId="77777777" w:rsidR="002A310E" w:rsidRDefault="008A646F" w:rsidP="00382AE3">
            <w:r>
              <w:t>Follow up aanbevelingen evaluaties</w:t>
            </w:r>
          </w:p>
        </w:tc>
        <w:tc>
          <w:tcPr>
            <w:tcW w:w="955" w:type="dxa"/>
            <w:tcBorders>
              <w:bottom w:val="single" w:sz="12" w:space="0" w:color="auto"/>
              <w:right w:val="single" w:sz="12" w:space="0" w:color="auto"/>
            </w:tcBorders>
            <w:shd w:val="clear" w:color="auto" w:fill="auto"/>
          </w:tcPr>
          <w:p w14:paraId="34D10A4F" w14:textId="7495DA50" w:rsidR="002A310E" w:rsidRPr="00A57688" w:rsidRDefault="00057A50" w:rsidP="00382AE3">
            <w:pPr>
              <w:rPr>
                <w:highlight w:val="yellow"/>
              </w:rPr>
            </w:pPr>
            <w:r>
              <w:t>3</w:t>
            </w:r>
          </w:p>
        </w:tc>
      </w:tr>
      <w:tr w:rsidR="002A310E" w:rsidRPr="00EA0AA8" w14:paraId="46CD0F50" w14:textId="77777777" w:rsidTr="00B06CE6">
        <w:tc>
          <w:tcPr>
            <w:tcW w:w="6912" w:type="dxa"/>
            <w:tcBorders>
              <w:top w:val="single" w:sz="12" w:space="0" w:color="auto"/>
              <w:left w:val="single" w:sz="12" w:space="0" w:color="auto"/>
              <w:bottom w:val="single" w:sz="12" w:space="0" w:color="auto"/>
            </w:tcBorders>
            <w:shd w:val="clear" w:color="auto" w:fill="D0CECE"/>
          </w:tcPr>
          <w:p w14:paraId="7C3933BD"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6BF3B2BA" w14:textId="564268B9" w:rsidR="002A310E" w:rsidRPr="00EA0AA8" w:rsidRDefault="00312FA8" w:rsidP="002A0E89">
            <w:pPr>
              <w:rPr>
                <w:b/>
              </w:rPr>
            </w:pPr>
            <w:r>
              <w:rPr>
                <w:b/>
              </w:rPr>
              <w:t>3</w:t>
            </w:r>
            <w:r w:rsidR="004016EF">
              <w:rPr>
                <w:b/>
              </w:rPr>
              <w:t xml:space="preserve"> </w:t>
            </w:r>
          </w:p>
        </w:tc>
      </w:tr>
    </w:tbl>
    <w:p w14:paraId="60DEBE11" w14:textId="77777777" w:rsidR="002A0E89" w:rsidRDefault="002A0E89" w:rsidP="002A0E89"/>
    <w:p w14:paraId="583A88E5" w14:textId="77777777" w:rsidR="002A0E89" w:rsidRPr="003D2C37" w:rsidRDefault="00CB063E" w:rsidP="00B64502">
      <w:pPr>
        <w:ind w:firstLine="227"/>
        <w:rPr>
          <w:lang w:val="en-GB"/>
        </w:rPr>
      </w:pPr>
      <w:proofErr w:type="spellStart"/>
      <w:r w:rsidRPr="003D2C37">
        <w:rPr>
          <w:lang w:val="en-GB"/>
        </w:rPr>
        <w:t>Verandering</w:t>
      </w:r>
      <w:proofErr w:type="spellEnd"/>
      <w:r w:rsidRPr="003D2C37">
        <w:rPr>
          <w:lang w:val="en-GB"/>
        </w:rPr>
        <w:t xml:space="preserve"> </w:t>
      </w:r>
      <w:proofErr w:type="spellStart"/>
      <w:r w:rsidRPr="003D2C37">
        <w:rPr>
          <w:lang w:val="en-GB"/>
        </w:rPr>
        <w:t>sinds</w:t>
      </w:r>
      <w:proofErr w:type="spellEnd"/>
      <w:r w:rsidRPr="003D2C37">
        <w:rPr>
          <w:lang w:val="en-GB"/>
        </w:rPr>
        <w:t xml:space="preserve"> 2015: </w:t>
      </w:r>
      <w:proofErr w:type="spellStart"/>
      <w:r w:rsidR="002A0E89">
        <w:rPr>
          <w:lang w:val="en-GB"/>
        </w:rPr>
        <w:t>neutraal</w:t>
      </w:r>
      <w:proofErr w:type="spellEnd"/>
      <w:r w:rsidRPr="003D2C37">
        <w:rPr>
          <w:lang w:val="en-GB"/>
        </w:rPr>
        <w:t xml:space="preserve"> = </w:t>
      </w:r>
      <w:r w:rsidR="002A0E89" w:rsidRPr="00193994">
        <w:sym w:font="Wingdings" w:char="F0E8"/>
      </w:r>
    </w:p>
    <w:p w14:paraId="50EDB687" w14:textId="77777777" w:rsidR="002A310E" w:rsidRPr="003D2C37" w:rsidRDefault="002A310E" w:rsidP="00326699">
      <w:pPr>
        <w:rPr>
          <w:lang w:val="en-GB"/>
        </w:rPr>
      </w:pPr>
    </w:p>
    <w:p w14:paraId="57862C5E" w14:textId="5892D4F9" w:rsidR="00DE343C" w:rsidRPr="00114B8E" w:rsidRDefault="00A6710B" w:rsidP="004D372F">
      <w:pPr>
        <w:pStyle w:val="Heading2"/>
        <w:tabs>
          <w:tab w:val="left" w:pos="-1162"/>
          <w:tab w:val="left" w:pos="0"/>
          <w:tab w:val="num" w:pos="1160"/>
        </w:tabs>
        <w:spacing w:line="240" w:lineRule="auto"/>
        <w:ind w:hanging="1162"/>
      </w:pPr>
      <w:bookmarkStart w:id="57" w:name="_Toc348364671"/>
      <w:bookmarkStart w:id="58" w:name="_Toc479602611"/>
      <w:bookmarkStart w:id="59" w:name="_Toc491442794"/>
      <w:r w:rsidRPr="00114B8E">
        <w:t>4</w:t>
      </w:r>
      <w:r w:rsidR="00CB063E" w:rsidRPr="00114B8E">
        <w:t>.6</w:t>
      </w:r>
      <w:r w:rsidR="00CB063E" w:rsidRPr="00114B8E">
        <w:tab/>
        <w:t>Human Resource Management</w:t>
      </w:r>
      <w:bookmarkEnd w:id="57"/>
      <w:bookmarkEnd w:id="58"/>
      <w:bookmarkEnd w:id="59"/>
    </w:p>
    <w:p w14:paraId="46389FDB" w14:textId="73B3CFFD" w:rsidR="00A35A10" w:rsidRDefault="007A735E" w:rsidP="00DE343C">
      <w:pPr>
        <w:rPr>
          <w:rFonts w:cs="Verdana"/>
          <w:szCs w:val="18"/>
        </w:rPr>
      </w:pPr>
      <w:r>
        <w:rPr>
          <w:rFonts w:cs="Verdana"/>
          <w:szCs w:val="18"/>
        </w:rPr>
        <w:t xml:space="preserve">Bij UNODC werken in totaal </w:t>
      </w:r>
      <w:r w:rsidR="00E2790D">
        <w:rPr>
          <w:rFonts w:cs="Verdana"/>
          <w:szCs w:val="18"/>
        </w:rPr>
        <w:t xml:space="preserve">602 </w:t>
      </w:r>
      <w:r>
        <w:rPr>
          <w:rFonts w:cs="Verdana"/>
          <w:szCs w:val="18"/>
        </w:rPr>
        <w:t xml:space="preserve">mensen </w:t>
      </w:r>
      <w:r w:rsidR="00B67559">
        <w:rPr>
          <w:rFonts w:cs="Verdana"/>
          <w:szCs w:val="18"/>
        </w:rPr>
        <w:t>met</w:t>
      </w:r>
      <w:r w:rsidR="00A35A10">
        <w:rPr>
          <w:rFonts w:cs="Verdana"/>
          <w:szCs w:val="18"/>
        </w:rPr>
        <w:t xml:space="preserve"> 103</w:t>
      </w:r>
      <w:r w:rsidR="00B67559">
        <w:rPr>
          <w:rFonts w:cs="Verdana"/>
          <w:szCs w:val="18"/>
        </w:rPr>
        <w:t xml:space="preserve"> verschillende</w:t>
      </w:r>
      <w:r w:rsidR="00A35A10">
        <w:rPr>
          <w:rFonts w:cs="Verdana"/>
          <w:szCs w:val="18"/>
        </w:rPr>
        <w:t xml:space="preserve"> nationaliteiten</w:t>
      </w:r>
      <w:r w:rsidR="00B67559">
        <w:rPr>
          <w:rFonts w:cs="Verdana"/>
          <w:szCs w:val="18"/>
        </w:rPr>
        <w:t xml:space="preserve">. Er werken </w:t>
      </w:r>
      <w:r w:rsidR="00A35A10">
        <w:rPr>
          <w:rFonts w:cs="Verdana"/>
          <w:szCs w:val="18"/>
        </w:rPr>
        <w:t xml:space="preserve">9 Nederlanders (juni, 2016). Opvallend is dat er na Oostenrijk het meeste Italianen werken (35), gevolgd door Kenia (34), het  VK (28), de VS (25). </w:t>
      </w:r>
      <w:r w:rsidR="00057A50">
        <w:rPr>
          <w:rFonts w:cs="Verdana"/>
          <w:szCs w:val="18"/>
        </w:rPr>
        <w:t>UNODC werkt voor een groot deel met tijdelijke contractanten</w:t>
      </w:r>
      <w:r w:rsidR="003A008F">
        <w:rPr>
          <w:rFonts w:cs="Verdana"/>
          <w:szCs w:val="18"/>
        </w:rPr>
        <w:t xml:space="preserve"> of gedetacheerden</w:t>
      </w:r>
      <w:r w:rsidR="00057A50">
        <w:rPr>
          <w:rFonts w:cs="Verdana"/>
          <w:szCs w:val="18"/>
        </w:rPr>
        <w:t xml:space="preserve"> die ingehuurd worden speciaal voor de projecten. </w:t>
      </w:r>
      <w:r w:rsidR="003A008F">
        <w:rPr>
          <w:rFonts w:cs="Verdana"/>
          <w:szCs w:val="18"/>
        </w:rPr>
        <w:t>Het aantal vaste stoelen binnen UNODC is beperkt en er is dan ook veel concurrentie rond deze stoelen.</w:t>
      </w:r>
    </w:p>
    <w:p w14:paraId="72E5ABE6" w14:textId="77777777" w:rsidR="00B67559" w:rsidRDefault="00B67559" w:rsidP="00DE343C">
      <w:pPr>
        <w:rPr>
          <w:rFonts w:cs="Verdana"/>
          <w:szCs w:val="18"/>
        </w:rPr>
      </w:pPr>
    </w:p>
    <w:p w14:paraId="46FC5AEC" w14:textId="7CB785CE" w:rsidR="00A35A10" w:rsidRPr="0087072B" w:rsidRDefault="00A35A10" w:rsidP="00DE343C">
      <w:pPr>
        <w:rPr>
          <w:rFonts w:cs="Verdana"/>
          <w:szCs w:val="18"/>
        </w:rPr>
      </w:pPr>
      <w:r>
        <w:rPr>
          <w:rFonts w:cs="Verdana"/>
          <w:szCs w:val="18"/>
        </w:rPr>
        <w:t xml:space="preserve">Gendergelijkheid binnen het UNODC-apparaat is een standaard bespreekpunt tijdens de vergaderingen van </w:t>
      </w:r>
      <w:proofErr w:type="spellStart"/>
      <w:r>
        <w:rPr>
          <w:rFonts w:cs="Verdana"/>
          <w:szCs w:val="18"/>
        </w:rPr>
        <w:t>FinGov</w:t>
      </w:r>
      <w:proofErr w:type="spellEnd"/>
      <w:r w:rsidR="00B67559">
        <w:rPr>
          <w:rFonts w:cs="Verdana"/>
          <w:szCs w:val="18"/>
        </w:rPr>
        <w:t xml:space="preserve">. De </w:t>
      </w:r>
      <w:r>
        <w:rPr>
          <w:rFonts w:cs="Verdana"/>
          <w:szCs w:val="18"/>
        </w:rPr>
        <w:t>directeur HR</w:t>
      </w:r>
      <w:r w:rsidR="00B67559">
        <w:rPr>
          <w:rFonts w:cs="Verdana"/>
          <w:szCs w:val="18"/>
        </w:rPr>
        <w:t xml:space="preserve"> rapporteert</w:t>
      </w:r>
      <w:r>
        <w:rPr>
          <w:rFonts w:cs="Verdana"/>
          <w:szCs w:val="18"/>
        </w:rPr>
        <w:t xml:space="preserve"> elke zes weken over de stand van zaken </w:t>
      </w:r>
      <w:r w:rsidR="0087072B">
        <w:rPr>
          <w:rFonts w:cs="Verdana"/>
          <w:szCs w:val="18"/>
        </w:rPr>
        <w:t xml:space="preserve">met betrekking tot het personeelsbestand en initiatieven om </w:t>
      </w:r>
      <w:r w:rsidR="00CB063E" w:rsidRPr="003D2C37">
        <w:rPr>
          <w:rFonts w:cs="Verdana"/>
          <w:szCs w:val="18"/>
        </w:rPr>
        <w:t>gendergelijkheid</w:t>
      </w:r>
      <w:r w:rsidR="0087072B">
        <w:rPr>
          <w:rFonts w:cs="Verdana"/>
          <w:i/>
          <w:szCs w:val="18"/>
        </w:rPr>
        <w:t xml:space="preserve"> </w:t>
      </w:r>
      <w:r w:rsidR="0087072B">
        <w:rPr>
          <w:rFonts w:cs="Verdana"/>
          <w:szCs w:val="18"/>
        </w:rPr>
        <w:t>binnen de organisatie te vergroten</w:t>
      </w:r>
      <w:r>
        <w:rPr>
          <w:rFonts w:cs="Verdana"/>
          <w:szCs w:val="18"/>
        </w:rPr>
        <w:t xml:space="preserve">. </w:t>
      </w:r>
      <w:r w:rsidR="0087072B">
        <w:rPr>
          <w:rFonts w:cs="Verdana"/>
          <w:szCs w:val="18"/>
        </w:rPr>
        <w:t>In februari 2017 is een vrouwelijke directeur HR aangesteld. Over het algemeen kan g</w:t>
      </w:r>
      <w:r>
        <w:rPr>
          <w:rFonts w:cs="Verdana"/>
          <w:szCs w:val="18"/>
        </w:rPr>
        <w:t>esteld kan worden dat de organisatie het goed doet</w:t>
      </w:r>
      <w:r w:rsidR="0087072B">
        <w:rPr>
          <w:rFonts w:cs="Verdana"/>
          <w:szCs w:val="18"/>
        </w:rPr>
        <w:t xml:space="preserve"> en zich actief inzet</w:t>
      </w:r>
      <w:r w:rsidR="00B67559">
        <w:rPr>
          <w:rFonts w:cs="Verdana"/>
          <w:szCs w:val="18"/>
        </w:rPr>
        <w:t xml:space="preserve"> voor een gelijke genderbalans in de organisatie</w:t>
      </w:r>
      <w:r>
        <w:rPr>
          <w:rFonts w:cs="Verdana"/>
          <w:szCs w:val="18"/>
        </w:rPr>
        <w:t xml:space="preserve">. </w:t>
      </w:r>
      <w:r w:rsidR="00114B8E">
        <w:rPr>
          <w:rFonts w:cs="Verdana"/>
          <w:szCs w:val="18"/>
        </w:rPr>
        <w:t xml:space="preserve">Binnen het totale personeelsbestand van UNODC is er een 50/50 gender </w:t>
      </w:r>
      <w:proofErr w:type="spellStart"/>
      <w:r w:rsidR="00114B8E" w:rsidRPr="001F648A">
        <w:rPr>
          <w:rFonts w:cs="Verdana"/>
          <w:i/>
          <w:szCs w:val="18"/>
        </w:rPr>
        <w:t>balance</w:t>
      </w:r>
      <w:proofErr w:type="spellEnd"/>
      <w:r w:rsidR="00114B8E">
        <w:rPr>
          <w:rFonts w:cs="Verdana"/>
          <w:szCs w:val="18"/>
        </w:rPr>
        <w:t xml:space="preserve">. </w:t>
      </w:r>
      <w:r>
        <w:rPr>
          <w:rFonts w:cs="Verdana"/>
          <w:szCs w:val="18"/>
        </w:rPr>
        <w:t xml:space="preserve">Van alle 385 </w:t>
      </w:r>
      <w:r w:rsidR="00114B8E">
        <w:rPr>
          <w:rFonts w:cs="Verdana"/>
          <w:szCs w:val="18"/>
        </w:rPr>
        <w:t>internationale functies (P-</w:t>
      </w:r>
      <w:proofErr w:type="spellStart"/>
      <w:r w:rsidR="00114B8E">
        <w:rPr>
          <w:rFonts w:cs="Verdana"/>
          <w:szCs w:val="18"/>
        </w:rPr>
        <w:t>staff</w:t>
      </w:r>
      <w:proofErr w:type="spellEnd"/>
      <w:r w:rsidR="00114B8E">
        <w:rPr>
          <w:rFonts w:cs="Verdana"/>
          <w:szCs w:val="18"/>
        </w:rPr>
        <w:t xml:space="preserve"> en hoger) </w:t>
      </w:r>
      <w:r>
        <w:rPr>
          <w:rFonts w:cs="Verdana"/>
          <w:szCs w:val="18"/>
        </w:rPr>
        <w:t>is 44</w:t>
      </w:r>
      <w:r w:rsidR="00B67559">
        <w:rPr>
          <w:rFonts w:cs="Verdana"/>
          <w:szCs w:val="18"/>
        </w:rPr>
        <w:t xml:space="preserve">% </w:t>
      </w:r>
      <w:r>
        <w:rPr>
          <w:rFonts w:cs="Verdana"/>
          <w:szCs w:val="18"/>
        </w:rPr>
        <w:t>vrouw en 56</w:t>
      </w:r>
      <w:r w:rsidR="00B67559">
        <w:rPr>
          <w:rFonts w:cs="Verdana"/>
          <w:szCs w:val="18"/>
        </w:rPr>
        <w:t xml:space="preserve">% </w:t>
      </w:r>
      <w:r>
        <w:rPr>
          <w:rFonts w:cs="Verdana"/>
          <w:szCs w:val="18"/>
        </w:rPr>
        <w:t xml:space="preserve">man. </w:t>
      </w:r>
      <w:r w:rsidR="0087072B">
        <w:rPr>
          <w:rFonts w:cs="Verdana"/>
          <w:szCs w:val="18"/>
        </w:rPr>
        <w:t xml:space="preserve">Voor de </w:t>
      </w:r>
      <w:r w:rsidR="004E03C1">
        <w:rPr>
          <w:rFonts w:cs="Verdana"/>
          <w:szCs w:val="18"/>
        </w:rPr>
        <w:t xml:space="preserve">gewone </w:t>
      </w:r>
      <w:r w:rsidR="00114B8E">
        <w:rPr>
          <w:rFonts w:cs="Verdana"/>
          <w:szCs w:val="18"/>
        </w:rPr>
        <w:t xml:space="preserve">personeelsfuncties (P1 – P4) </w:t>
      </w:r>
      <w:r w:rsidR="0087072B">
        <w:rPr>
          <w:rFonts w:cs="Verdana"/>
          <w:szCs w:val="18"/>
        </w:rPr>
        <w:t>is de balans 46</w:t>
      </w:r>
      <w:r w:rsidR="00B67559">
        <w:rPr>
          <w:rFonts w:cs="Verdana"/>
          <w:szCs w:val="18"/>
        </w:rPr>
        <w:t xml:space="preserve">% </w:t>
      </w:r>
      <w:r w:rsidR="0087072B">
        <w:rPr>
          <w:rFonts w:cs="Verdana"/>
          <w:szCs w:val="18"/>
        </w:rPr>
        <w:t xml:space="preserve">vrouw en </w:t>
      </w:r>
      <w:r w:rsidR="00114B8E">
        <w:rPr>
          <w:rFonts w:cs="Verdana"/>
          <w:szCs w:val="18"/>
        </w:rPr>
        <w:t>5</w:t>
      </w:r>
      <w:r w:rsidR="0087072B">
        <w:rPr>
          <w:rFonts w:cs="Verdana"/>
          <w:szCs w:val="18"/>
        </w:rPr>
        <w:t>4</w:t>
      </w:r>
      <w:r w:rsidR="00B67559">
        <w:rPr>
          <w:rFonts w:cs="Verdana"/>
          <w:szCs w:val="18"/>
        </w:rPr>
        <w:t xml:space="preserve">% </w:t>
      </w:r>
      <w:r w:rsidR="0087072B">
        <w:rPr>
          <w:rFonts w:cs="Verdana"/>
          <w:szCs w:val="18"/>
        </w:rPr>
        <w:t>man. Bij de leidinggevende functies was dat 38</w:t>
      </w:r>
      <w:r w:rsidR="00B67559">
        <w:rPr>
          <w:rFonts w:cs="Verdana"/>
          <w:szCs w:val="18"/>
        </w:rPr>
        <w:t>%</w:t>
      </w:r>
      <w:r w:rsidR="0087072B">
        <w:rPr>
          <w:rFonts w:cs="Verdana"/>
          <w:szCs w:val="18"/>
        </w:rPr>
        <w:t xml:space="preserve"> vrouw en 62</w:t>
      </w:r>
      <w:r w:rsidR="00B67559">
        <w:rPr>
          <w:rFonts w:cs="Verdana"/>
          <w:szCs w:val="18"/>
        </w:rPr>
        <w:t>%</w:t>
      </w:r>
      <w:r w:rsidR="0087072B">
        <w:rPr>
          <w:rFonts w:cs="Verdana"/>
          <w:szCs w:val="18"/>
        </w:rPr>
        <w:t xml:space="preserve"> man in juni 2016. </w:t>
      </w:r>
    </w:p>
    <w:p w14:paraId="628D9BAF" w14:textId="77777777" w:rsidR="00A35A10" w:rsidRDefault="00A35A10" w:rsidP="00DE343C">
      <w:pPr>
        <w:rPr>
          <w:rFonts w:cs="Verdana"/>
          <w:szCs w:val="18"/>
        </w:rPr>
      </w:pPr>
    </w:p>
    <w:p w14:paraId="74A43CE8" w14:textId="1DC8EDF4" w:rsidR="0049376D" w:rsidRDefault="00F510B8" w:rsidP="0049376D">
      <w:pPr>
        <w:rPr>
          <w:rFonts w:cs="Verdana"/>
          <w:szCs w:val="18"/>
        </w:rPr>
      </w:pPr>
      <w:r>
        <w:rPr>
          <w:rFonts w:cs="Verdana"/>
          <w:szCs w:val="18"/>
        </w:rPr>
        <w:t xml:space="preserve">De personeelsafdeling van UNODC functioneert naar behoren, </w:t>
      </w:r>
      <w:r w:rsidR="00B67559">
        <w:rPr>
          <w:rFonts w:cs="Verdana"/>
          <w:szCs w:val="18"/>
        </w:rPr>
        <w:t xml:space="preserve">ook </w:t>
      </w:r>
      <w:r>
        <w:rPr>
          <w:rFonts w:cs="Verdana"/>
          <w:szCs w:val="18"/>
        </w:rPr>
        <w:t xml:space="preserve">in een situatie waarin veel functies tijdelijk en projectgebonden zijn. Toch lukt het UNODC doorgaans personeel van goede kwaliteit aan te trekken en deze </w:t>
      </w:r>
      <w:r w:rsidR="00B67559">
        <w:rPr>
          <w:rFonts w:cs="Verdana"/>
          <w:szCs w:val="18"/>
        </w:rPr>
        <w:t xml:space="preserve"> vanuit het ene project in te zetten in een volgend project</w:t>
      </w:r>
      <w:r>
        <w:rPr>
          <w:rFonts w:cs="Verdana"/>
          <w:szCs w:val="18"/>
        </w:rPr>
        <w:t xml:space="preserve"> en hen zo te behouden voor de organisatie. De overgrote meerderheid van het personeel (medewerkers en leidinggevenden) </w:t>
      </w:r>
      <w:r>
        <w:rPr>
          <w:rFonts w:cs="Verdana"/>
          <w:szCs w:val="18"/>
        </w:rPr>
        <w:lastRenderedPageBreak/>
        <w:t xml:space="preserve">kenmerkt zich dan ook door een hoge mate van bekwaamheid en betrokkenheid. Sommige lidstaten proberen toezeggingen betreffende grote projecten te koppelen aan een actieve lobby voor plaatsing van een landgenoot. UNODC wijst dan op de functieprofielen en ervaringseisen die voor de functie gelden. </w:t>
      </w:r>
      <w:r w:rsidR="003627AE">
        <w:rPr>
          <w:rFonts w:cs="Verdana"/>
          <w:szCs w:val="18"/>
        </w:rPr>
        <w:t xml:space="preserve">Op het hoofdkantoor van UNODC werken veel mensen met een achtergrond bij justitie of politie. </w:t>
      </w:r>
    </w:p>
    <w:p w14:paraId="76F911DB" w14:textId="77777777" w:rsidR="00B67559" w:rsidRDefault="00B67559" w:rsidP="0049376D">
      <w:pPr>
        <w:rPr>
          <w:rFonts w:cs="Verdana"/>
          <w:szCs w:val="18"/>
        </w:rPr>
      </w:pPr>
    </w:p>
    <w:p w14:paraId="72FC453A" w14:textId="4E738E7E" w:rsidR="0049376D" w:rsidRDefault="0049376D" w:rsidP="0049376D">
      <w:pPr>
        <w:rPr>
          <w:rFonts w:cs="Verdana"/>
          <w:szCs w:val="18"/>
        </w:rPr>
      </w:pPr>
      <w:r>
        <w:rPr>
          <w:rFonts w:cs="Verdana"/>
          <w:szCs w:val="18"/>
        </w:rPr>
        <w:t>UNODC valt onder het VN-secretariaat en is daardoor wel beperkt flexibel in het voeren van een eigen personeelsbeleid. Het VN</w:t>
      </w:r>
      <w:r w:rsidR="00B67559">
        <w:rPr>
          <w:rFonts w:cs="Verdana"/>
          <w:szCs w:val="18"/>
        </w:rPr>
        <w:t>-</w:t>
      </w:r>
      <w:r>
        <w:rPr>
          <w:rFonts w:cs="Verdana"/>
          <w:szCs w:val="18"/>
        </w:rPr>
        <w:t xml:space="preserve">secretariaat heeft sinds 2014 een nieuw personeelsbeleid aangenomen waarbij het mensen stimuleert om een in een roulatiesysteem te werken. Dat betekent dat men voor een bepaalde tijd een functie doet en dan doorschuift naar een andere functie. Zo krijgt men een ervaren en diverse staf. UNODC doet daar ook sindsdien aan mee. </w:t>
      </w:r>
    </w:p>
    <w:p w14:paraId="65C348AA" w14:textId="2E56B07A" w:rsidR="00B64502" w:rsidRDefault="00B6450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3"/>
        <w:gridCol w:w="953"/>
      </w:tblGrid>
      <w:tr w:rsidR="002A310E" w:rsidRPr="00EA0AA8" w14:paraId="1C15838C" w14:textId="77777777" w:rsidTr="00B64502">
        <w:tc>
          <w:tcPr>
            <w:tcW w:w="6853" w:type="dxa"/>
            <w:tcBorders>
              <w:top w:val="single" w:sz="12" w:space="0" w:color="auto"/>
              <w:left w:val="single" w:sz="12" w:space="0" w:color="auto"/>
              <w:bottom w:val="single" w:sz="12" w:space="0" w:color="auto"/>
            </w:tcBorders>
            <w:shd w:val="clear" w:color="auto" w:fill="D0CECE"/>
          </w:tcPr>
          <w:p w14:paraId="5323FE8E" w14:textId="257DCA36" w:rsidR="002A310E" w:rsidRPr="00EA0AA8" w:rsidRDefault="002A310E" w:rsidP="00382AE3">
            <w:pPr>
              <w:rPr>
                <w:b/>
              </w:rPr>
            </w:pPr>
            <w:r w:rsidRPr="00EA0AA8">
              <w:rPr>
                <w:b/>
              </w:rPr>
              <w:t>Onderdeel</w:t>
            </w:r>
          </w:p>
        </w:tc>
        <w:tc>
          <w:tcPr>
            <w:tcW w:w="953" w:type="dxa"/>
            <w:tcBorders>
              <w:top w:val="single" w:sz="12" w:space="0" w:color="auto"/>
              <w:bottom w:val="single" w:sz="12" w:space="0" w:color="auto"/>
              <w:right w:val="single" w:sz="12" w:space="0" w:color="auto"/>
            </w:tcBorders>
            <w:shd w:val="clear" w:color="auto" w:fill="D0CECE"/>
          </w:tcPr>
          <w:p w14:paraId="319D9B73" w14:textId="77777777" w:rsidR="002A310E" w:rsidRPr="00EA0AA8" w:rsidRDefault="002A310E" w:rsidP="00382AE3">
            <w:pPr>
              <w:rPr>
                <w:b/>
              </w:rPr>
            </w:pPr>
            <w:r w:rsidRPr="00EA0AA8">
              <w:rPr>
                <w:b/>
              </w:rPr>
              <w:t>Score</w:t>
            </w:r>
          </w:p>
        </w:tc>
      </w:tr>
      <w:tr w:rsidR="002A310E" w14:paraId="5B72A292" w14:textId="77777777" w:rsidTr="00B64502">
        <w:tc>
          <w:tcPr>
            <w:tcW w:w="6853" w:type="dxa"/>
            <w:tcBorders>
              <w:top w:val="single" w:sz="12" w:space="0" w:color="auto"/>
              <w:left w:val="single" w:sz="12" w:space="0" w:color="auto"/>
            </w:tcBorders>
            <w:shd w:val="clear" w:color="auto" w:fill="auto"/>
          </w:tcPr>
          <w:p w14:paraId="2AD565D0" w14:textId="77777777" w:rsidR="002A310E" w:rsidRDefault="00B52E2F" w:rsidP="00382AE3">
            <w:r>
              <w:t xml:space="preserve">Mobiliteit </w:t>
            </w:r>
          </w:p>
        </w:tc>
        <w:tc>
          <w:tcPr>
            <w:tcW w:w="953" w:type="dxa"/>
            <w:tcBorders>
              <w:top w:val="single" w:sz="12" w:space="0" w:color="auto"/>
              <w:right w:val="single" w:sz="12" w:space="0" w:color="auto"/>
            </w:tcBorders>
            <w:shd w:val="clear" w:color="auto" w:fill="auto"/>
          </w:tcPr>
          <w:p w14:paraId="493E7C97" w14:textId="10952823" w:rsidR="002A310E" w:rsidRDefault="004E03C1" w:rsidP="00382AE3">
            <w:r>
              <w:t>4</w:t>
            </w:r>
          </w:p>
        </w:tc>
      </w:tr>
      <w:tr w:rsidR="002A310E" w14:paraId="4B3F1453" w14:textId="77777777" w:rsidTr="00B64502">
        <w:tc>
          <w:tcPr>
            <w:tcW w:w="6853" w:type="dxa"/>
            <w:tcBorders>
              <w:left w:val="single" w:sz="12" w:space="0" w:color="auto"/>
            </w:tcBorders>
            <w:shd w:val="clear" w:color="auto" w:fill="auto"/>
          </w:tcPr>
          <w:p w14:paraId="4E27E44E" w14:textId="77777777" w:rsidR="002A310E" w:rsidRDefault="00B52E2F" w:rsidP="00B52E2F">
            <w:r>
              <w:t xml:space="preserve">Kwaliteit </w:t>
            </w:r>
          </w:p>
        </w:tc>
        <w:tc>
          <w:tcPr>
            <w:tcW w:w="953" w:type="dxa"/>
            <w:tcBorders>
              <w:right w:val="single" w:sz="12" w:space="0" w:color="auto"/>
            </w:tcBorders>
            <w:shd w:val="clear" w:color="auto" w:fill="auto"/>
          </w:tcPr>
          <w:p w14:paraId="38C8FDA8" w14:textId="34B2AB00" w:rsidR="002A310E" w:rsidRDefault="004E03C1" w:rsidP="00382AE3">
            <w:r>
              <w:t>4</w:t>
            </w:r>
          </w:p>
        </w:tc>
      </w:tr>
      <w:tr w:rsidR="002A310E" w14:paraId="63C6BC5A" w14:textId="77777777" w:rsidTr="00B64502">
        <w:tc>
          <w:tcPr>
            <w:tcW w:w="6853" w:type="dxa"/>
            <w:tcBorders>
              <w:left w:val="single" w:sz="12" w:space="0" w:color="auto"/>
            </w:tcBorders>
            <w:shd w:val="clear" w:color="auto" w:fill="auto"/>
          </w:tcPr>
          <w:p w14:paraId="06166598" w14:textId="77777777" w:rsidR="002A310E" w:rsidRDefault="00B52E2F" w:rsidP="00382AE3">
            <w:r>
              <w:t>Diversiteit</w:t>
            </w:r>
          </w:p>
        </w:tc>
        <w:tc>
          <w:tcPr>
            <w:tcW w:w="953" w:type="dxa"/>
            <w:tcBorders>
              <w:right w:val="single" w:sz="12" w:space="0" w:color="auto"/>
            </w:tcBorders>
            <w:shd w:val="clear" w:color="auto" w:fill="auto"/>
          </w:tcPr>
          <w:p w14:paraId="0B96EF08" w14:textId="6E270CC7" w:rsidR="002A310E" w:rsidRDefault="004E03C1" w:rsidP="00382AE3">
            <w:r>
              <w:t>4</w:t>
            </w:r>
          </w:p>
        </w:tc>
      </w:tr>
      <w:tr w:rsidR="002A310E" w14:paraId="0829A38D" w14:textId="77777777" w:rsidTr="00B64502">
        <w:tc>
          <w:tcPr>
            <w:tcW w:w="6853" w:type="dxa"/>
            <w:tcBorders>
              <w:left w:val="single" w:sz="12" w:space="0" w:color="auto"/>
              <w:bottom w:val="single" w:sz="12" w:space="0" w:color="auto"/>
            </w:tcBorders>
            <w:shd w:val="clear" w:color="auto" w:fill="auto"/>
          </w:tcPr>
          <w:p w14:paraId="58414AD4" w14:textId="77777777" w:rsidR="002A310E" w:rsidRDefault="00B52E2F" w:rsidP="00382AE3">
            <w:r>
              <w:t>Genderbalans</w:t>
            </w:r>
          </w:p>
        </w:tc>
        <w:tc>
          <w:tcPr>
            <w:tcW w:w="953" w:type="dxa"/>
            <w:tcBorders>
              <w:bottom w:val="single" w:sz="12" w:space="0" w:color="auto"/>
              <w:right w:val="single" w:sz="12" w:space="0" w:color="auto"/>
            </w:tcBorders>
            <w:shd w:val="clear" w:color="auto" w:fill="auto"/>
          </w:tcPr>
          <w:p w14:paraId="26C91503" w14:textId="168DCC4E" w:rsidR="002A310E" w:rsidRDefault="004E03C1" w:rsidP="00382AE3">
            <w:r>
              <w:t>4</w:t>
            </w:r>
          </w:p>
        </w:tc>
      </w:tr>
      <w:tr w:rsidR="002A310E" w:rsidRPr="00EA0AA8" w14:paraId="535F537D" w14:textId="77777777" w:rsidTr="00B64502">
        <w:tc>
          <w:tcPr>
            <w:tcW w:w="6853" w:type="dxa"/>
            <w:tcBorders>
              <w:top w:val="single" w:sz="12" w:space="0" w:color="auto"/>
              <w:left w:val="single" w:sz="12" w:space="0" w:color="auto"/>
              <w:bottom w:val="single" w:sz="12" w:space="0" w:color="auto"/>
            </w:tcBorders>
            <w:shd w:val="clear" w:color="auto" w:fill="D0CECE"/>
          </w:tcPr>
          <w:p w14:paraId="2BDD120E" w14:textId="77777777" w:rsidR="002A310E" w:rsidRPr="00EA0AA8" w:rsidRDefault="002A310E" w:rsidP="00382AE3">
            <w:pPr>
              <w:rPr>
                <w:b/>
              </w:rPr>
            </w:pPr>
            <w:r w:rsidRPr="00F313B0">
              <w:rPr>
                <w:b/>
              </w:rPr>
              <w:t>TOTAAL</w:t>
            </w:r>
          </w:p>
        </w:tc>
        <w:tc>
          <w:tcPr>
            <w:tcW w:w="953" w:type="dxa"/>
            <w:tcBorders>
              <w:top w:val="single" w:sz="12" w:space="0" w:color="auto"/>
              <w:bottom w:val="single" w:sz="12" w:space="0" w:color="auto"/>
              <w:right w:val="single" w:sz="12" w:space="0" w:color="auto"/>
            </w:tcBorders>
            <w:shd w:val="clear" w:color="auto" w:fill="D0CECE"/>
          </w:tcPr>
          <w:p w14:paraId="59803668" w14:textId="50530F89" w:rsidR="002A310E" w:rsidRPr="00EA0AA8" w:rsidRDefault="004E03C1" w:rsidP="00B67559">
            <w:pPr>
              <w:rPr>
                <w:b/>
              </w:rPr>
            </w:pPr>
            <w:r>
              <w:rPr>
                <w:b/>
              </w:rPr>
              <w:t>4</w:t>
            </w:r>
          </w:p>
        </w:tc>
      </w:tr>
    </w:tbl>
    <w:p w14:paraId="5D6D9465" w14:textId="77777777" w:rsidR="00B67559" w:rsidRDefault="00B67559" w:rsidP="00B67559"/>
    <w:p w14:paraId="7E0B9BF0" w14:textId="25757EC7" w:rsidR="00B67559" w:rsidRPr="000547A6" w:rsidRDefault="00B67559" w:rsidP="00B64502">
      <w:pPr>
        <w:ind w:firstLine="227"/>
      </w:pPr>
      <w:r w:rsidRPr="000547A6">
        <w:t>Ver</w:t>
      </w:r>
      <w:r w:rsidR="004E03C1">
        <w:t xml:space="preserve">andering sinds 2015: positief </w:t>
      </w:r>
      <w:r w:rsidR="004E03C1" w:rsidRPr="00900C34">
        <w:rPr>
          <w:szCs w:val="18"/>
        </w:rPr>
        <w:sym w:font="Wingdings" w:char="F0E9"/>
      </w:r>
    </w:p>
    <w:p w14:paraId="17AE812A" w14:textId="77777777" w:rsidR="002A310E" w:rsidRDefault="002A310E" w:rsidP="00326699"/>
    <w:p w14:paraId="5A3D87C5" w14:textId="5155604A" w:rsidR="00DE343C" w:rsidRPr="004D372F" w:rsidRDefault="00A6710B" w:rsidP="004D372F">
      <w:pPr>
        <w:pStyle w:val="Heading2"/>
        <w:tabs>
          <w:tab w:val="left" w:pos="-1162"/>
          <w:tab w:val="left" w:pos="0"/>
          <w:tab w:val="num" w:pos="1160"/>
        </w:tabs>
        <w:spacing w:line="240" w:lineRule="auto"/>
        <w:ind w:hanging="1162"/>
      </w:pPr>
      <w:bookmarkStart w:id="60" w:name="_Toc479602612"/>
      <w:bookmarkStart w:id="61" w:name="_Toc491442795"/>
      <w:r>
        <w:t>4</w:t>
      </w:r>
      <w:r w:rsidR="00326699">
        <w:t>.</w:t>
      </w:r>
      <w:r w:rsidR="00A74DEC">
        <w:t>7</w:t>
      </w:r>
      <w:r w:rsidR="004D372F" w:rsidRPr="004D372F">
        <w:t xml:space="preserve"> </w:t>
      </w:r>
      <w:r w:rsidR="004D372F">
        <w:tab/>
      </w:r>
      <w:r w:rsidR="00DE343C" w:rsidRPr="004D372F">
        <w:t xml:space="preserve">Financiële </w:t>
      </w:r>
      <w:r w:rsidR="00DB7D94">
        <w:t>stabiliteit</w:t>
      </w:r>
      <w:bookmarkEnd w:id="60"/>
      <w:bookmarkEnd w:id="61"/>
    </w:p>
    <w:p w14:paraId="4C6058F8" w14:textId="45D49ACE" w:rsidR="00BB6748" w:rsidRPr="00F75F32" w:rsidRDefault="00167BFC" w:rsidP="00BB6748">
      <w:r>
        <w:t xml:space="preserve">De </w:t>
      </w:r>
      <w:r w:rsidR="000547A6">
        <w:t>liquiditeitspositie</w:t>
      </w:r>
      <w:r>
        <w:t xml:space="preserve"> van de UNODC i</w:t>
      </w:r>
      <w:r w:rsidR="004E62ED">
        <w:t>s gezond</w:t>
      </w:r>
      <w:r w:rsidR="000547A6">
        <w:t xml:space="preserve"> te noemen: </w:t>
      </w:r>
      <w:r w:rsidR="004E62ED">
        <w:t>de ratio schulden</w:t>
      </w:r>
      <w:r>
        <w:t xml:space="preserve"> tot </w:t>
      </w:r>
      <w:r w:rsidR="00553DEE">
        <w:t>bezit</w:t>
      </w:r>
      <w:r w:rsidR="000547A6">
        <w:t xml:space="preserve"> is</w:t>
      </w:r>
      <w:r w:rsidR="00553DEE">
        <w:t xml:space="preserve"> 2</w:t>
      </w:r>
      <w:r w:rsidR="000547A6">
        <w:t>.</w:t>
      </w:r>
      <w:r w:rsidR="00553DEE">
        <w:t xml:space="preserve">46:1. </w:t>
      </w:r>
      <w:r w:rsidR="003A008F">
        <w:t>Dat de kas zo goed gevuld is komt vooral omdat veel van de projecten vooraf betaald moeten worden.</w:t>
      </w:r>
      <w:r w:rsidR="00BB6748" w:rsidRPr="00BB6748">
        <w:t xml:space="preserve"> </w:t>
      </w:r>
      <w:r w:rsidR="00BB6748">
        <w:t xml:space="preserve">UNODC geen probleem met het omzetten van toegezegde middelen in daadwerkelijke en tijdige bijdragen: in 2014 bestond de kas uit 2,4 miljoen dollar en in 2015 om 2.2 miljoen. Er is geen </w:t>
      </w:r>
      <w:proofErr w:type="spellStart"/>
      <w:r w:rsidR="00323C89">
        <w:t>carry</w:t>
      </w:r>
      <w:proofErr w:type="spellEnd"/>
      <w:r w:rsidR="00323C89">
        <w:t xml:space="preserve"> over </w:t>
      </w:r>
      <w:r w:rsidR="00BB6748" w:rsidRPr="004E03C1">
        <w:t>van het regul</w:t>
      </w:r>
      <w:r w:rsidR="004E03C1" w:rsidRPr="004E03C1">
        <w:t>ier</w:t>
      </w:r>
      <w:r w:rsidR="00BB6748" w:rsidRPr="004E03C1">
        <w:t xml:space="preserve"> budget, wel van </w:t>
      </w:r>
      <w:r w:rsidR="00ED0AAF">
        <w:rPr>
          <w:i/>
        </w:rPr>
        <w:t>non-</w:t>
      </w:r>
      <w:proofErr w:type="spellStart"/>
      <w:r w:rsidR="00ED0AAF">
        <w:rPr>
          <w:i/>
        </w:rPr>
        <w:t>core</w:t>
      </w:r>
      <w:proofErr w:type="spellEnd"/>
      <w:r w:rsidR="00BB6748">
        <w:t xml:space="preserve"> bijdragen in het geval deze voor meerjarig gebruik zijn. </w:t>
      </w:r>
    </w:p>
    <w:p w14:paraId="014B9E49" w14:textId="48FC2F84" w:rsidR="000547A6" w:rsidRDefault="000547A6" w:rsidP="00167BFC"/>
    <w:p w14:paraId="3A3C0637" w14:textId="11733563" w:rsidR="006D05D6" w:rsidRDefault="00167BFC" w:rsidP="00167BFC">
      <w:r>
        <w:t xml:space="preserve">In 2014 </w:t>
      </w:r>
      <w:r w:rsidR="004E62ED">
        <w:t>was het uiteindelijk</w:t>
      </w:r>
      <w:r w:rsidR="00BC2735">
        <w:t>e</w:t>
      </w:r>
      <w:r w:rsidR="004E62ED">
        <w:t xml:space="preserve"> budg</w:t>
      </w:r>
      <w:r>
        <w:t>et kleiner dan begroot (354,7 miljoen dollar tegenover 305,7</w:t>
      </w:r>
      <w:r w:rsidR="00BC2735">
        <w:t xml:space="preserve"> miljoen dollar</w:t>
      </w:r>
      <w:r>
        <w:t xml:space="preserve">). </w:t>
      </w:r>
      <w:r w:rsidR="00BC2735">
        <w:t>Ook in</w:t>
      </w:r>
      <w:r>
        <w:t xml:space="preserve"> 2015 was het budget </w:t>
      </w:r>
      <w:r w:rsidR="004E62ED">
        <w:t>aanzienlijk</w:t>
      </w:r>
      <w:r>
        <w:t xml:space="preserve"> kleiner dan vooraf begroot (405,4 miljoen dollar tegenover 280</w:t>
      </w:r>
      <w:r w:rsidR="00BC2735">
        <w:t xml:space="preserve"> miljoen dollar)</w:t>
      </w:r>
      <w:r>
        <w:t xml:space="preserve">. </w:t>
      </w:r>
      <w:r w:rsidR="00CB505B">
        <w:t xml:space="preserve">Ook de vastgestelde begroting 2016–2017 is halverwege bijgesteld. </w:t>
      </w:r>
      <w:r>
        <w:t xml:space="preserve">Oorzaak hiervan is een </w:t>
      </w:r>
      <w:r w:rsidR="00BC2735">
        <w:t xml:space="preserve">te </w:t>
      </w:r>
      <w:r w:rsidR="007C2461">
        <w:t xml:space="preserve">optimistische kijk op </w:t>
      </w:r>
      <w:r w:rsidR="00354379">
        <w:t xml:space="preserve">voorziene </w:t>
      </w:r>
      <w:r>
        <w:t>vri</w:t>
      </w:r>
      <w:r w:rsidR="00A01CA0">
        <w:t>jwillige donaties van lidstaten.</w:t>
      </w:r>
      <w:r>
        <w:t xml:space="preserve"> UNODC is in grote mate afhankelijk van </w:t>
      </w:r>
      <w:r w:rsidR="00ED0AAF">
        <w:rPr>
          <w:i/>
        </w:rPr>
        <w:t>non-</w:t>
      </w:r>
      <w:proofErr w:type="spellStart"/>
      <w:r w:rsidR="00ED0AAF">
        <w:rPr>
          <w:i/>
        </w:rPr>
        <w:t>core</w:t>
      </w:r>
      <w:proofErr w:type="spellEnd"/>
      <w:r w:rsidR="007C2461">
        <w:t xml:space="preserve"> </w:t>
      </w:r>
      <w:r>
        <w:t>donaties</w:t>
      </w:r>
      <w:r w:rsidR="00BC2735">
        <w:t>;</w:t>
      </w:r>
      <w:r>
        <w:t xml:space="preserve">  </w:t>
      </w:r>
      <w:r w:rsidR="00BC2735">
        <w:t>dit is een onvoorspelbare</w:t>
      </w:r>
      <w:r>
        <w:t xml:space="preserve"> factor</w:t>
      </w:r>
      <w:r w:rsidR="007C2461">
        <w:t xml:space="preserve"> in de </w:t>
      </w:r>
      <w:r w:rsidR="00BC2735">
        <w:t>financiële</w:t>
      </w:r>
      <w:r w:rsidR="007C2461">
        <w:t xml:space="preserve"> planning</w:t>
      </w:r>
      <w:r>
        <w:t xml:space="preserve">. </w:t>
      </w:r>
      <w:r w:rsidR="003A008F">
        <w:t>ECOSOC</w:t>
      </w:r>
      <w:r w:rsidR="001F648A">
        <w:t xml:space="preserve"> </w:t>
      </w:r>
      <w:r>
        <w:t xml:space="preserve">heeft in 2015 zijn zorgen over </w:t>
      </w:r>
      <w:r w:rsidR="00153D22">
        <w:t xml:space="preserve">het bestuur </w:t>
      </w:r>
      <w:r>
        <w:t xml:space="preserve">en </w:t>
      </w:r>
      <w:r w:rsidR="00153D22">
        <w:t>de</w:t>
      </w:r>
      <w:r w:rsidR="004E62ED">
        <w:t xml:space="preserve"> </w:t>
      </w:r>
      <w:r w:rsidR="00153D22">
        <w:t>financiële</w:t>
      </w:r>
      <w:r>
        <w:t xml:space="preserve"> situatie uitgesproken.</w:t>
      </w:r>
      <w:r w:rsidR="00A01CA0">
        <w:t xml:space="preserve"> </w:t>
      </w:r>
    </w:p>
    <w:p w14:paraId="4BB99DAD" w14:textId="77777777" w:rsidR="00153D22" w:rsidRDefault="00153D22" w:rsidP="00167BFC"/>
    <w:p w14:paraId="51F38AA4" w14:textId="77777777" w:rsidR="00C6547B" w:rsidRDefault="00C6547B" w:rsidP="00DE343C"/>
    <w:p w14:paraId="66AA4D81" w14:textId="75C8675E" w:rsidR="004E009E" w:rsidRDefault="003E4199" w:rsidP="00DE343C">
      <w:r w:rsidRPr="002531C1">
        <w:rPr>
          <w:lang w:val="en-US"/>
        </w:rPr>
        <w:t xml:space="preserve">In 2014 is UNODC </w:t>
      </w:r>
      <w:proofErr w:type="spellStart"/>
      <w:r w:rsidRPr="002531C1">
        <w:rPr>
          <w:lang w:val="en-US"/>
        </w:rPr>
        <w:t>begonnen</w:t>
      </w:r>
      <w:proofErr w:type="spellEnd"/>
      <w:r w:rsidRPr="002531C1">
        <w:rPr>
          <w:lang w:val="en-US"/>
        </w:rPr>
        <w:t xml:space="preserve"> </w:t>
      </w:r>
      <w:r w:rsidRPr="002531C1">
        <w:rPr>
          <w:i/>
          <w:lang w:val="en-US"/>
        </w:rPr>
        <w:t>full cost recovery</w:t>
      </w:r>
      <w:r w:rsidR="00AA7E50">
        <w:rPr>
          <w:i/>
          <w:lang w:val="en-US"/>
        </w:rPr>
        <w:t xml:space="preserve"> (FCR)</w:t>
      </w:r>
      <w:r w:rsidR="00D21655" w:rsidRPr="002531C1">
        <w:rPr>
          <w:i/>
          <w:lang w:val="en-US"/>
        </w:rPr>
        <w:t xml:space="preserve">. </w:t>
      </w:r>
      <w:r w:rsidR="00D21655" w:rsidRPr="002531C1">
        <w:rPr>
          <w:i/>
        </w:rPr>
        <w:t xml:space="preserve">Dit wil zeggen dat UNODC </w:t>
      </w:r>
      <w:r w:rsidR="00D21655" w:rsidRPr="00D21655">
        <w:rPr>
          <w:i/>
        </w:rPr>
        <w:t>5 procent ext</w:t>
      </w:r>
      <w:r w:rsidR="00D21655" w:rsidRPr="002531C1">
        <w:rPr>
          <w:i/>
        </w:rPr>
        <w:t>ra kosten bovenop de projectkosten</w:t>
      </w:r>
      <w:r w:rsidR="00D21655">
        <w:rPr>
          <w:i/>
        </w:rPr>
        <w:t xml:space="preserve"> doet</w:t>
      </w:r>
      <w:r w:rsidR="00D21655">
        <w:t xml:space="preserve"> om te</w:t>
      </w:r>
      <w:r w:rsidR="00DF57D5">
        <w:t xml:space="preserve"> g</w:t>
      </w:r>
      <w:r w:rsidR="00250F62">
        <w:t>aranderen</w:t>
      </w:r>
      <w:r w:rsidR="002678CD">
        <w:t xml:space="preserve"> dat</w:t>
      </w:r>
      <w:r w:rsidR="00250F62">
        <w:t xml:space="preserve"> de</w:t>
      </w:r>
      <w:r w:rsidR="004016EF">
        <w:t xml:space="preserve"> programma</w:t>
      </w:r>
      <w:r w:rsidR="002678CD">
        <w:t>financiering alle direct toerekenbare kosten</w:t>
      </w:r>
      <w:r w:rsidR="00D21655">
        <w:t>, ook die op het hoofdkantoor in Wenen</w:t>
      </w:r>
      <w:r w:rsidR="00AA7E50">
        <w:t xml:space="preserve"> dekt</w:t>
      </w:r>
      <w:r w:rsidR="00D21655">
        <w:t>,</w:t>
      </w:r>
      <w:r w:rsidR="002678CD">
        <w:t xml:space="preserve"> </w:t>
      </w:r>
      <w:r w:rsidR="004016EF">
        <w:t>Doel daarvan is</w:t>
      </w:r>
      <w:r w:rsidR="002678CD">
        <w:t xml:space="preserve"> om de eff</w:t>
      </w:r>
      <w:r w:rsidR="00D21655">
        <w:t>iciëntie</w:t>
      </w:r>
      <w:r w:rsidR="002678CD">
        <w:t xml:space="preserve"> en de transparantie van de programma’s te vergroten</w:t>
      </w:r>
      <w:r w:rsidR="00250F62">
        <w:t xml:space="preserve"> en</w:t>
      </w:r>
      <w:r w:rsidR="00D21655">
        <w:t xml:space="preserve"> op die manier hoeft</w:t>
      </w:r>
      <w:r w:rsidR="00250F62">
        <w:t xml:space="preserve"> het </w:t>
      </w:r>
      <w:r w:rsidR="00FC4D16">
        <w:t xml:space="preserve">reguliere </w:t>
      </w:r>
      <w:r w:rsidR="00250F62">
        <w:t xml:space="preserve">budget niet  te worden aangewend om tekorten bij programma’s </w:t>
      </w:r>
      <w:r w:rsidR="00FC4D16">
        <w:t xml:space="preserve">aan </w:t>
      </w:r>
      <w:r w:rsidR="00250F62">
        <w:t xml:space="preserve">te vullen. UNODC bespreekt de voortgang van het implementeren </w:t>
      </w:r>
      <w:r w:rsidR="00250F62" w:rsidRPr="001F648A">
        <w:t>van</w:t>
      </w:r>
      <w:r w:rsidR="001F648A" w:rsidRPr="001F648A">
        <w:t xml:space="preserve"> </w:t>
      </w:r>
      <w:r w:rsidR="005C244F" w:rsidRPr="001F648A">
        <w:t>F</w:t>
      </w:r>
      <w:r w:rsidR="00AA7E50" w:rsidRPr="001F648A">
        <w:t>CR</w:t>
      </w:r>
      <w:r w:rsidR="003C11CF">
        <w:t xml:space="preserve"> elke 6 weken bij </w:t>
      </w:r>
      <w:proofErr w:type="spellStart"/>
      <w:r w:rsidR="003C11CF">
        <w:t>FinGov</w:t>
      </w:r>
      <w:proofErr w:type="spellEnd"/>
      <w:r w:rsidR="001A76B4">
        <w:t>. In 2016 zijn hierin verder stappen in de goede richting gezet. Er zijn onder andere herziene richtlijnen voor het toepassen van F</w:t>
      </w:r>
      <w:r w:rsidR="00AA7E50">
        <w:t>CR</w:t>
      </w:r>
      <w:r w:rsidR="001A76B4">
        <w:t xml:space="preserve">, naar de landenkantoren gestuurd.  </w:t>
      </w:r>
      <w:r w:rsidR="00A346FC">
        <w:t xml:space="preserve">Het doel is om eind 2017 de volledige </w:t>
      </w:r>
      <w:r w:rsidR="00AA7E50">
        <w:t>FCR</w:t>
      </w:r>
      <w:r w:rsidR="00A346FC">
        <w:t xml:space="preserve"> geïmplementeerd te hebben</w:t>
      </w:r>
      <w:r w:rsidR="00F24110">
        <w:t xml:space="preserve"> loopt op schema.</w:t>
      </w:r>
      <w:r w:rsidR="00A346FC">
        <w:t xml:space="preserve"> </w:t>
      </w:r>
      <w:r w:rsidR="00AD142E">
        <w:t xml:space="preserve">Het advies van de Board was in 2015 om dat proces te versnellen, zodat </w:t>
      </w:r>
      <w:r w:rsidR="00AD142E">
        <w:lastRenderedPageBreak/>
        <w:t xml:space="preserve">programmakosten beter inzichtelijk worden en daardoor </w:t>
      </w:r>
      <w:r w:rsidR="001658C8">
        <w:t>het</w:t>
      </w:r>
      <w:r w:rsidR="00846702">
        <w:t xml:space="preserve"> besluitvormings</w:t>
      </w:r>
      <w:r w:rsidR="00AD142E">
        <w:t xml:space="preserve">proces. Dit zorgt ook voor meer tevredenheid bij donoren. </w:t>
      </w:r>
    </w:p>
    <w:p w14:paraId="2242FD1B" w14:textId="77777777" w:rsidR="004E009E" w:rsidRDefault="004E009E" w:rsidP="00DE343C"/>
    <w:p w14:paraId="1ABE359E" w14:textId="3EB88BA1" w:rsidR="00DB5BFD" w:rsidRDefault="00846702" w:rsidP="00DB5BFD">
      <w:r>
        <w:t>UNODC is, net als het gehele VN-secretariaat, overgestapt op een nieuw ICT</w:t>
      </w:r>
      <w:r w:rsidR="002B5738">
        <w:t>-</w:t>
      </w:r>
      <w:r>
        <w:t xml:space="preserve">systeem. </w:t>
      </w:r>
      <w:r w:rsidR="001A76B4">
        <w:t>Door de moeizame overstap</w:t>
      </w:r>
      <w:r w:rsidR="003C26BD">
        <w:t xml:space="preserve"> in 2015</w:t>
      </w:r>
      <w:r w:rsidR="001A76B4">
        <w:t xml:space="preserve"> naar </w:t>
      </w:r>
      <w:r>
        <w:t xml:space="preserve">dit nieuwe </w:t>
      </w:r>
      <w:r w:rsidR="001A76B4">
        <w:t xml:space="preserve">rapportagesysteem </w:t>
      </w:r>
      <w:r w:rsidR="002B5738">
        <w:t>(</w:t>
      </w:r>
      <w:r w:rsidR="003C26BD">
        <w:t>UMOJA</w:t>
      </w:r>
      <w:r w:rsidR="002B5738">
        <w:t>)</w:t>
      </w:r>
      <w:r w:rsidR="003C26BD">
        <w:t xml:space="preserve"> b</w:t>
      </w:r>
      <w:r>
        <w:t xml:space="preserve">leek het versnellen van </w:t>
      </w:r>
      <w:r w:rsidR="002B5738">
        <w:t xml:space="preserve">de verbetering van </w:t>
      </w:r>
      <w:r>
        <w:t xml:space="preserve"> financiële processen </w:t>
      </w:r>
      <w:r w:rsidR="003C26BD">
        <w:t>niet mogelijk.</w:t>
      </w:r>
      <w:r w:rsidR="004E009E">
        <w:t xml:space="preserve"> </w:t>
      </w:r>
      <w:r w:rsidR="005A5A41">
        <w:t>De</w:t>
      </w:r>
      <w:r w:rsidR="00DB5BFD">
        <w:t xml:space="preserve"> </w:t>
      </w:r>
      <w:r w:rsidR="002B5738">
        <w:t>financiële</w:t>
      </w:r>
      <w:r w:rsidR="005A5A41">
        <w:t xml:space="preserve"> verslaglegging </w:t>
      </w:r>
      <w:r w:rsidR="00DB5BFD">
        <w:t>moest</w:t>
      </w:r>
      <w:r w:rsidR="005A5A41">
        <w:t xml:space="preserve"> efficiënter, </w:t>
      </w:r>
      <w:r w:rsidR="006D05D6">
        <w:t>het een systematisch proces</w:t>
      </w:r>
      <w:r w:rsidR="005A5A41">
        <w:t xml:space="preserve"> </w:t>
      </w:r>
      <w:r w:rsidR="005C244F">
        <w:t xml:space="preserve">en </w:t>
      </w:r>
      <w:r w:rsidR="005A5A41">
        <w:t xml:space="preserve"> consistente verslaglegging van de projectkosten verzekert. </w:t>
      </w:r>
      <w:r w:rsidR="003605BE">
        <w:t>UMOJA moet leiden tot</w:t>
      </w:r>
      <w:r w:rsidR="00037250">
        <w:t xml:space="preserve"> een</w:t>
      </w:r>
      <w:r w:rsidR="003605BE">
        <w:t xml:space="preserve"> betere </w:t>
      </w:r>
      <w:r w:rsidR="00037250">
        <w:t xml:space="preserve">verantwoording </w:t>
      </w:r>
      <w:r w:rsidR="00C9678A">
        <w:t xml:space="preserve">en beter </w:t>
      </w:r>
      <w:r w:rsidR="00037250">
        <w:t xml:space="preserve">financieel inzicht voor het </w:t>
      </w:r>
      <w:r w:rsidR="00C9678A">
        <w:t xml:space="preserve">hoofdkantoor </w:t>
      </w:r>
      <w:r w:rsidR="00037250">
        <w:t xml:space="preserve">en </w:t>
      </w:r>
      <w:r w:rsidR="00C9678A">
        <w:t xml:space="preserve">op de </w:t>
      </w:r>
      <w:r w:rsidR="00801373">
        <w:t>landenkantoren</w:t>
      </w:r>
      <w:r w:rsidR="00037250">
        <w:t>.</w:t>
      </w:r>
      <w:r w:rsidR="00801373">
        <w:t xml:space="preserve"> </w:t>
      </w:r>
      <w:r w:rsidR="00037250">
        <w:t xml:space="preserve">Het </w:t>
      </w:r>
      <w:r w:rsidR="00C9678A">
        <w:t>vergt</w:t>
      </w:r>
      <w:r w:rsidR="00037250">
        <w:t xml:space="preserve"> echter ook</w:t>
      </w:r>
      <w:r w:rsidR="00C9678A">
        <w:t xml:space="preserve"> van de projectmanagers een andere manier van plannen dan voor hen gebruikelijk was.</w:t>
      </w:r>
      <w:r w:rsidR="006D05D6">
        <w:t xml:space="preserve"> D</w:t>
      </w:r>
      <w:r w:rsidR="00037250">
        <w:t>oor d</w:t>
      </w:r>
      <w:r w:rsidR="006D05D6">
        <w:t xml:space="preserve">e opstartproblemen </w:t>
      </w:r>
      <w:r w:rsidR="00037250">
        <w:t>kon</w:t>
      </w:r>
      <w:r w:rsidR="006D05D6">
        <w:t xml:space="preserve"> </w:t>
      </w:r>
      <w:r w:rsidR="00DB5BFD">
        <w:t xml:space="preserve">de Board of Auditors </w:t>
      </w:r>
      <w:r w:rsidR="006D05D6">
        <w:t xml:space="preserve">pas in juni 2016 </w:t>
      </w:r>
      <w:r w:rsidR="00DB5BFD">
        <w:t xml:space="preserve">naar de jaarrekening 2015 kijken. </w:t>
      </w:r>
      <w:r w:rsidR="00C9678A">
        <w:t>H</w:t>
      </w:r>
      <w:r>
        <w:t>iervoor was dispensatie verleend</w:t>
      </w:r>
      <w:r w:rsidR="00C9678A">
        <w:t xml:space="preserve"> door de Algemene Vergadering. </w:t>
      </w:r>
      <w:r w:rsidR="006D05D6">
        <w:t>Daarnaast</w:t>
      </w:r>
      <w:r w:rsidR="00DB5BFD">
        <w:t xml:space="preserve"> duurde de verslaglegging van UNODC naar de donoren ook langer dan wenselijk. </w:t>
      </w:r>
      <w:r w:rsidR="00C03139">
        <w:t xml:space="preserve">Ook in 2016 blijft de </w:t>
      </w:r>
      <w:r w:rsidR="00642074">
        <w:t>financiële</w:t>
      </w:r>
      <w:r w:rsidR="00C03139">
        <w:t xml:space="preserve"> rapportage </w:t>
      </w:r>
      <w:r w:rsidR="003E259A">
        <w:t xml:space="preserve">voor sommige landenkantoren een </w:t>
      </w:r>
      <w:r w:rsidR="005C244F">
        <w:t xml:space="preserve">door UMOJA een </w:t>
      </w:r>
      <w:r w:rsidR="003E259A">
        <w:t xml:space="preserve">uitdaging. De </w:t>
      </w:r>
      <w:r>
        <w:t>jaar</w:t>
      </w:r>
      <w:r w:rsidR="003E259A">
        <w:t xml:space="preserve">rapportage 2016 was klaar voor 31 maart </w:t>
      </w:r>
      <w:r>
        <w:t>2017</w:t>
      </w:r>
      <w:r w:rsidR="003E259A">
        <w:t xml:space="preserve"> en wordt op het moment van schrijven </w:t>
      </w:r>
      <w:r w:rsidR="00642074">
        <w:t xml:space="preserve">van de score card, </w:t>
      </w:r>
      <w:proofErr w:type="spellStart"/>
      <w:r w:rsidR="003E259A">
        <w:t>geaudit</w:t>
      </w:r>
      <w:proofErr w:type="spellEnd"/>
      <w:r w:rsidR="00A17BD7">
        <w:t xml:space="preserve"> door de extern</w:t>
      </w:r>
      <w:r w:rsidR="00642074">
        <w:t>e</w:t>
      </w:r>
      <w:r w:rsidR="00A17BD7">
        <w:t xml:space="preserve"> accountant.</w:t>
      </w:r>
      <w:r w:rsidR="003E259A">
        <w:t xml:space="preserve"> Daarna zullen de </w:t>
      </w:r>
      <w:r w:rsidR="00642074">
        <w:t>definitieve financiële</w:t>
      </w:r>
      <w:r w:rsidR="00A17BD7">
        <w:t xml:space="preserve"> jaarrapporten van de projecten worden uitgegeven. </w:t>
      </w:r>
    </w:p>
    <w:p w14:paraId="4DE2CAF9" w14:textId="77777777" w:rsidR="00DB5BFD" w:rsidRDefault="00DB5BFD" w:rsidP="00DE343C"/>
    <w:p w14:paraId="7A77E916" w14:textId="7D06A49D" w:rsidR="003E4199" w:rsidRDefault="005A5A41" w:rsidP="00801373">
      <w:r>
        <w:t>UNODC heeft verbetering beloofd</w:t>
      </w:r>
      <w:r w:rsidR="003605BE">
        <w:t xml:space="preserve"> en blijft investeren in het </w:t>
      </w:r>
      <w:r>
        <w:t>extra trainen van het personeel in UMOJA</w:t>
      </w:r>
      <w:r w:rsidR="00642074">
        <w:t>.</w:t>
      </w:r>
      <w:r w:rsidR="003605BE">
        <w:t xml:space="preserve"> </w:t>
      </w:r>
      <w:r w:rsidR="005C244F">
        <w:t xml:space="preserve">Door UMOJA is er nu </w:t>
      </w:r>
      <w:r w:rsidR="003605BE">
        <w:t xml:space="preserve"> </w:t>
      </w:r>
      <w:r w:rsidR="005C244F">
        <w:t xml:space="preserve">ook een </w:t>
      </w:r>
      <w:r w:rsidR="00C9678A">
        <w:t xml:space="preserve">grotere betrokkenheid </w:t>
      </w:r>
      <w:r w:rsidR="005C244F">
        <w:t>op</w:t>
      </w:r>
      <w:r w:rsidR="00C9678A">
        <w:t xml:space="preserve"> het hoofdkantoor bij </w:t>
      </w:r>
      <w:r w:rsidR="00801373">
        <w:t>de rapportages van de programma</w:t>
      </w:r>
      <w:r w:rsidR="00A01CA0">
        <w:t>’</w:t>
      </w:r>
      <w:r w:rsidR="00801373">
        <w:t>s en projecten</w:t>
      </w:r>
      <w:r w:rsidR="005C244F">
        <w:t xml:space="preserve"> en dus is er meer controle op de uitgaven</w:t>
      </w:r>
      <w:r w:rsidR="005C244F" w:rsidDel="005C244F">
        <w:t xml:space="preserve"> </w:t>
      </w:r>
    </w:p>
    <w:p w14:paraId="5F62A31A" w14:textId="77777777" w:rsidR="002678CD" w:rsidRDefault="002678CD" w:rsidP="00DE343C">
      <w:pPr>
        <w:rPr>
          <w:i/>
        </w:rPr>
      </w:pPr>
    </w:p>
    <w:p w14:paraId="75AA8651" w14:textId="28EA7467" w:rsidR="004E009E" w:rsidRDefault="004E009E" w:rsidP="00DE343C">
      <w:r>
        <w:t xml:space="preserve">Tot slot heeft </w:t>
      </w:r>
      <w:r w:rsidR="00167BFC">
        <w:t>UNODC</w:t>
      </w:r>
      <w:r w:rsidR="004C7EE9">
        <w:t xml:space="preserve"> </w:t>
      </w:r>
      <w:r>
        <w:t xml:space="preserve">in 2015 </w:t>
      </w:r>
      <w:r w:rsidR="00CB063E" w:rsidRPr="005C244F">
        <w:rPr>
          <w:i/>
        </w:rPr>
        <w:t>International Public Sector Accounting Standards</w:t>
      </w:r>
      <w:r w:rsidR="00642074">
        <w:t xml:space="preserve"> (</w:t>
      </w:r>
      <w:r w:rsidR="004C7EE9">
        <w:t>IPSAS</w:t>
      </w:r>
      <w:r w:rsidR="00642074">
        <w:t>)</w:t>
      </w:r>
      <w:r w:rsidR="00846702">
        <w:t xml:space="preserve"> </w:t>
      </w:r>
      <w:r w:rsidR="004C7EE9">
        <w:t xml:space="preserve">ingevoerd en </w:t>
      </w:r>
      <w:r w:rsidR="00FA0572">
        <w:t>heeft de interne financi</w:t>
      </w:r>
      <w:r w:rsidR="00846702">
        <w:t>ë</w:t>
      </w:r>
      <w:r w:rsidR="00FA0572">
        <w:t>le controle een grotere zichtbaarheid gekregen</w:t>
      </w:r>
      <w:r w:rsidR="004C7EE9">
        <w:t xml:space="preserve">. </w:t>
      </w:r>
      <w:r>
        <w:t xml:space="preserve">Van belang is om </w:t>
      </w:r>
      <w:r w:rsidR="00A7276A">
        <w:t>betere/accuratere communicatie tussen het hoof</w:t>
      </w:r>
      <w:r>
        <w:t xml:space="preserve">dkantoor en de veldkantoren te verbeteren </w:t>
      </w:r>
      <w:r w:rsidR="00A7276A">
        <w:t xml:space="preserve">voor het goed en tijdig opstellen van een </w:t>
      </w:r>
      <w:r w:rsidR="0047063D">
        <w:t xml:space="preserve">realistische </w:t>
      </w:r>
      <w:r w:rsidR="00A7276A">
        <w:t xml:space="preserve">begroting. </w:t>
      </w:r>
    </w:p>
    <w:p w14:paraId="5D7ABFEC" w14:textId="77777777" w:rsidR="004E009E" w:rsidRDefault="004E009E" w:rsidP="00DE343C"/>
    <w:p w14:paraId="0C522AEF" w14:textId="58316334" w:rsidR="00DB5BFD" w:rsidRDefault="00A717E2" w:rsidP="00DE343C">
      <w:r>
        <w:t xml:space="preserve">Er is geen raamcontract </w:t>
      </w:r>
      <w:r w:rsidR="004E009E">
        <w:t xml:space="preserve">tussen </w:t>
      </w:r>
      <w:r>
        <w:t>UNODC</w:t>
      </w:r>
      <w:r w:rsidR="004E009E">
        <w:t xml:space="preserve"> en Nederland</w:t>
      </w:r>
      <w:r>
        <w:t xml:space="preserve">. De rapportages worden per project beoordeeld door de verschillende </w:t>
      </w:r>
      <w:r w:rsidR="0047063D">
        <w:t>opdrachtgevers</w:t>
      </w:r>
      <w:r>
        <w:t xml:space="preserve">. </w:t>
      </w:r>
      <w:r w:rsidR="004E009E">
        <w:t xml:space="preserve">Omdat de financiële rapportages op dit moment niet aan de eisen voldoen, valt ook niet te zeggen of ze inhoudelijk correct zijn. </w:t>
      </w:r>
    </w:p>
    <w:p w14:paraId="6B928DB7" w14:textId="77777777" w:rsidR="002A310E" w:rsidRPr="00553DEE" w:rsidRDefault="002A310E" w:rsidP="00553DEE">
      <w:pPr>
        <w:ind w:left="227"/>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3"/>
        <w:gridCol w:w="953"/>
      </w:tblGrid>
      <w:tr w:rsidR="002A310E" w:rsidRPr="00EA0AA8" w14:paraId="7B8DFAFC" w14:textId="77777777" w:rsidTr="00B06CE6">
        <w:tc>
          <w:tcPr>
            <w:tcW w:w="6912" w:type="dxa"/>
            <w:tcBorders>
              <w:top w:val="single" w:sz="12" w:space="0" w:color="auto"/>
              <w:left w:val="single" w:sz="12" w:space="0" w:color="auto"/>
              <w:bottom w:val="single" w:sz="12" w:space="0" w:color="auto"/>
            </w:tcBorders>
            <w:shd w:val="clear" w:color="auto" w:fill="D0CECE"/>
          </w:tcPr>
          <w:p w14:paraId="2E114F6F"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332AB512" w14:textId="77777777" w:rsidR="002A310E" w:rsidRPr="00EA0AA8" w:rsidRDefault="002A310E" w:rsidP="00382AE3">
            <w:pPr>
              <w:rPr>
                <w:b/>
              </w:rPr>
            </w:pPr>
            <w:r w:rsidRPr="00EA0AA8">
              <w:rPr>
                <w:b/>
              </w:rPr>
              <w:t>Score</w:t>
            </w:r>
          </w:p>
        </w:tc>
      </w:tr>
      <w:tr w:rsidR="002A310E" w14:paraId="7D1801B6" w14:textId="77777777" w:rsidTr="00382AE3">
        <w:tc>
          <w:tcPr>
            <w:tcW w:w="6912" w:type="dxa"/>
            <w:tcBorders>
              <w:top w:val="single" w:sz="12" w:space="0" w:color="auto"/>
              <w:left w:val="single" w:sz="12" w:space="0" w:color="auto"/>
            </w:tcBorders>
            <w:shd w:val="clear" w:color="auto" w:fill="auto"/>
          </w:tcPr>
          <w:p w14:paraId="5224234D" w14:textId="77777777" w:rsidR="002A310E" w:rsidRDefault="00927293" w:rsidP="00927293">
            <w:r>
              <w:t>Verhouding goedgekeurde begroting / ontvangen bijdragen</w:t>
            </w:r>
          </w:p>
        </w:tc>
        <w:tc>
          <w:tcPr>
            <w:tcW w:w="955" w:type="dxa"/>
            <w:tcBorders>
              <w:top w:val="single" w:sz="12" w:space="0" w:color="auto"/>
              <w:right w:val="single" w:sz="12" w:space="0" w:color="auto"/>
            </w:tcBorders>
            <w:shd w:val="clear" w:color="auto" w:fill="auto"/>
          </w:tcPr>
          <w:p w14:paraId="4556C77F" w14:textId="77777777" w:rsidR="002A310E" w:rsidRDefault="00167BFC" w:rsidP="00382AE3">
            <w:r>
              <w:t>2</w:t>
            </w:r>
          </w:p>
        </w:tc>
      </w:tr>
      <w:tr w:rsidR="002A310E" w14:paraId="4F5C88D1" w14:textId="77777777" w:rsidTr="00382AE3">
        <w:tc>
          <w:tcPr>
            <w:tcW w:w="6912" w:type="dxa"/>
            <w:tcBorders>
              <w:left w:val="single" w:sz="12" w:space="0" w:color="auto"/>
            </w:tcBorders>
            <w:shd w:val="clear" w:color="auto" w:fill="auto"/>
          </w:tcPr>
          <w:p w14:paraId="6DF75506" w14:textId="77777777" w:rsidR="002A310E" w:rsidRDefault="00927293" w:rsidP="00382AE3">
            <w:r>
              <w:t>Liquiditeitspositie en/of solvabiliteitspositie</w:t>
            </w:r>
          </w:p>
        </w:tc>
        <w:tc>
          <w:tcPr>
            <w:tcW w:w="955" w:type="dxa"/>
            <w:tcBorders>
              <w:right w:val="single" w:sz="12" w:space="0" w:color="auto"/>
            </w:tcBorders>
            <w:shd w:val="clear" w:color="auto" w:fill="auto"/>
          </w:tcPr>
          <w:p w14:paraId="4C1C96E3" w14:textId="77777777" w:rsidR="002A310E" w:rsidRDefault="00112E36" w:rsidP="00382AE3">
            <w:r>
              <w:t>4</w:t>
            </w:r>
          </w:p>
        </w:tc>
      </w:tr>
      <w:tr w:rsidR="002A310E" w14:paraId="739D076E" w14:textId="77777777" w:rsidTr="00382AE3">
        <w:tc>
          <w:tcPr>
            <w:tcW w:w="6912" w:type="dxa"/>
            <w:tcBorders>
              <w:left w:val="single" w:sz="12" w:space="0" w:color="auto"/>
            </w:tcBorders>
            <w:shd w:val="clear" w:color="auto" w:fill="auto"/>
          </w:tcPr>
          <w:p w14:paraId="36B089A1" w14:textId="77777777" w:rsidR="002A310E" w:rsidRDefault="00927293" w:rsidP="00382AE3">
            <w:r>
              <w:t>Interne auditfunctie</w:t>
            </w:r>
          </w:p>
        </w:tc>
        <w:tc>
          <w:tcPr>
            <w:tcW w:w="955" w:type="dxa"/>
            <w:tcBorders>
              <w:right w:val="single" w:sz="12" w:space="0" w:color="auto"/>
            </w:tcBorders>
            <w:shd w:val="clear" w:color="auto" w:fill="auto"/>
          </w:tcPr>
          <w:p w14:paraId="1B240680" w14:textId="77777777" w:rsidR="002A310E" w:rsidRDefault="007055E9" w:rsidP="00382AE3">
            <w:r>
              <w:t>3</w:t>
            </w:r>
          </w:p>
        </w:tc>
      </w:tr>
      <w:tr w:rsidR="00927293" w14:paraId="198B7D76" w14:textId="77777777" w:rsidTr="00382AE3">
        <w:tc>
          <w:tcPr>
            <w:tcW w:w="6912" w:type="dxa"/>
            <w:tcBorders>
              <w:left w:val="single" w:sz="12" w:space="0" w:color="auto"/>
            </w:tcBorders>
            <w:shd w:val="clear" w:color="auto" w:fill="auto"/>
          </w:tcPr>
          <w:p w14:paraId="74F0A949" w14:textId="77777777" w:rsidR="00927293" w:rsidRDefault="00927293" w:rsidP="00382AE3">
            <w:r>
              <w:t>Kwaliteit rapportages</w:t>
            </w:r>
          </w:p>
        </w:tc>
        <w:tc>
          <w:tcPr>
            <w:tcW w:w="955" w:type="dxa"/>
            <w:tcBorders>
              <w:right w:val="single" w:sz="12" w:space="0" w:color="auto"/>
            </w:tcBorders>
            <w:shd w:val="clear" w:color="auto" w:fill="auto"/>
          </w:tcPr>
          <w:p w14:paraId="6EA3A407" w14:textId="77777777" w:rsidR="00927293" w:rsidRDefault="007055E9" w:rsidP="00382AE3">
            <w:r>
              <w:t>3</w:t>
            </w:r>
          </w:p>
        </w:tc>
      </w:tr>
      <w:tr w:rsidR="00927293" w14:paraId="41D7FBC6" w14:textId="77777777" w:rsidTr="00382AE3">
        <w:tc>
          <w:tcPr>
            <w:tcW w:w="6912" w:type="dxa"/>
            <w:tcBorders>
              <w:left w:val="single" w:sz="12" w:space="0" w:color="auto"/>
            </w:tcBorders>
            <w:shd w:val="clear" w:color="auto" w:fill="auto"/>
          </w:tcPr>
          <w:p w14:paraId="51D86045" w14:textId="77777777" w:rsidR="00927293" w:rsidRDefault="00927293" w:rsidP="00382AE3">
            <w:r>
              <w:t>Samenhang tussen inhoudelijke en financiële rapportages</w:t>
            </w:r>
          </w:p>
        </w:tc>
        <w:tc>
          <w:tcPr>
            <w:tcW w:w="955" w:type="dxa"/>
            <w:tcBorders>
              <w:right w:val="single" w:sz="12" w:space="0" w:color="auto"/>
            </w:tcBorders>
            <w:shd w:val="clear" w:color="auto" w:fill="auto"/>
          </w:tcPr>
          <w:p w14:paraId="2496A1D8" w14:textId="004A8049" w:rsidR="00927293" w:rsidRDefault="00BB6748" w:rsidP="00382AE3">
            <w:r>
              <w:t>3</w:t>
            </w:r>
          </w:p>
        </w:tc>
      </w:tr>
      <w:tr w:rsidR="002A310E" w:rsidRPr="00EA0AA8" w14:paraId="21369C5B" w14:textId="77777777" w:rsidTr="00B06CE6">
        <w:tc>
          <w:tcPr>
            <w:tcW w:w="6912" w:type="dxa"/>
            <w:tcBorders>
              <w:top w:val="single" w:sz="12" w:space="0" w:color="auto"/>
              <w:left w:val="single" w:sz="12" w:space="0" w:color="auto"/>
              <w:bottom w:val="single" w:sz="12" w:space="0" w:color="auto"/>
            </w:tcBorders>
            <w:shd w:val="clear" w:color="auto" w:fill="D0CECE"/>
          </w:tcPr>
          <w:p w14:paraId="5F1BC822"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022E8CFF" w14:textId="245B11B0" w:rsidR="002A310E" w:rsidRPr="00EA0AA8" w:rsidRDefault="00553DEE" w:rsidP="00382AE3">
            <w:pPr>
              <w:rPr>
                <w:b/>
              </w:rPr>
            </w:pPr>
            <w:r>
              <w:rPr>
                <w:b/>
              </w:rPr>
              <w:t xml:space="preserve">3 </w:t>
            </w:r>
          </w:p>
        </w:tc>
      </w:tr>
    </w:tbl>
    <w:p w14:paraId="794B89AE" w14:textId="77777777" w:rsidR="00927293" w:rsidRDefault="00927293" w:rsidP="00E20A86"/>
    <w:p w14:paraId="32999E38" w14:textId="4849917E" w:rsidR="00D96BE7" w:rsidRDefault="00D96BE7" w:rsidP="00E20A86">
      <w:r w:rsidRPr="000547A6">
        <w:t xml:space="preserve">Verandering sinds 2015: neutraal = </w:t>
      </w:r>
      <w:r w:rsidRPr="00193994">
        <w:sym w:font="Wingdings" w:char="F0E8"/>
      </w:r>
    </w:p>
    <w:p w14:paraId="495F5BE0" w14:textId="77777777" w:rsidR="005A1763" w:rsidRDefault="005A1763" w:rsidP="00E20A86"/>
    <w:p w14:paraId="521EB026" w14:textId="68F1A3A7" w:rsidR="00382AE3" w:rsidRDefault="00A6710B" w:rsidP="00382AE3">
      <w:pPr>
        <w:pStyle w:val="Heading2"/>
        <w:tabs>
          <w:tab w:val="left" w:pos="-1162"/>
          <w:tab w:val="left" w:pos="0"/>
          <w:tab w:val="num" w:pos="1160"/>
        </w:tabs>
        <w:spacing w:line="240" w:lineRule="auto"/>
        <w:ind w:hanging="1162"/>
      </w:pPr>
      <w:bookmarkStart w:id="62" w:name="_Toc479602613"/>
      <w:bookmarkStart w:id="63" w:name="_Toc491442796"/>
      <w:r>
        <w:t>4</w:t>
      </w:r>
      <w:r w:rsidR="00382AE3">
        <w:t>.8</w:t>
      </w:r>
      <w:r w:rsidR="00382AE3" w:rsidRPr="004D372F">
        <w:t xml:space="preserve"> </w:t>
      </w:r>
      <w:r w:rsidR="00382AE3">
        <w:tab/>
      </w:r>
      <w:r>
        <w:t>Kosten</w:t>
      </w:r>
      <w:bookmarkEnd w:id="62"/>
      <w:r w:rsidR="00F51860">
        <w:t>reductie</w:t>
      </w:r>
      <w:bookmarkEnd w:id="63"/>
    </w:p>
    <w:p w14:paraId="4183BF3F" w14:textId="74978774" w:rsidR="009835B0" w:rsidRPr="00553DEE" w:rsidRDefault="008E011B" w:rsidP="00A13499">
      <w:r w:rsidRPr="00553DEE">
        <w:t xml:space="preserve">Door de implementatie van </w:t>
      </w:r>
      <w:r w:rsidR="001F648A">
        <w:rPr>
          <w:i/>
        </w:rPr>
        <w:t xml:space="preserve">Full </w:t>
      </w:r>
      <w:proofErr w:type="spellStart"/>
      <w:r w:rsidR="001F648A">
        <w:rPr>
          <w:i/>
        </w:rPr>
        <w:t>Cost</w:t>
      </w:r>
      <w:proofErr w:type="spellEnd"/>
      <w:r w:rsidR="001F648A">
        <w:rPr>
          <w:i/>
        </w:rPr>
        <w:t xml:space="preserve"> Recovery </w:t>
      </w:r>
      <w:r w:rsidR="005C244F">
        <w:t xml:space="preserve">(5%) </w:t>
      </w:r>
      <w:r w:rsidRPr="00553DEE">
        <w:t xml:space="preserve">en de </w:t>
      </w:r>
      <w:proofErr w:type="spellStart"/>
      <w:r w:rsidRPr="001F648A">
        <w:rPr>
          <w:i/>
        </w:rPr>
        <w:t>Programmes</w:t>
      </w:r>
      <w:proofErr w:type="spellEnd"/>
      <w:r w:rsidRPr="001F648A">
        <w:rPr>
          <w:i/>
        </w:rPr>
        <w:t xml:space="preserve"> Support </w:t>
      </w:r>
      <w:proofErr w:type="spellStart"/>
      <w:r w:rsidRPr="001F648A">
        <w:rPr>
          <w:i/>
        </w:rPr>
        <w:t>Costs</w:t>
      </w:r>
      <w:proofErr w:type="spellEnd"/>
      <w:r w:rsidRPr="00553DEE">
        <w:t xml:space="preserve"> </w:t>
      </w:r>
      <w:r w:rsidR="005C244F">
        <w:t xml:space="preserve">(13 </w:t>
      </w:r>
      <w:r w:rsidR="001F648A">
        <w:t>%) wordt</w:t>
      </w:r>
      <w:r w:rsidRPr="00553DEE">
        <w:t xml:space="preserve"> de overhead van programma’s afgedekt. Geschat wordt dat de overheadkosten van projecten op </w:t>
      </w:r>
      <w:r w:rsidR="005C244F">
        <w:t>18%</w:t>
      </w:r>
      <w:r w:rsidRPr="00553DEE">
        <w:t xml:space="preserve"> ligt, wat in lijn is met de rest van het VN-</w:t>
      </w:r>
      <w:r w:rsidR="00FF3D58">
        <w:t xml:space="preserve">systeem. </w:t>
      </w:r>
      <w:r w:rsidR="00846702">
        <w:t>D</w:t>
      </w:r>
      <w:r w:rsidR="00846702" w:rsidRPr="00553DEE">
        <w:t xml:space="preserve">e overheadkosten </w:t>
      </w:r>
      <w:r w:rsidR="00846702">
        <w:t xml:space="preserve">kunnen </w:t>
      </w:r>
      <w:r w:rsidR="00D62FBC">
        <w:t xml:space="preserve">niet </w:t>
      </w:r>
      <w:r w:rsidR="00846702" w:rsidRPr="00553DEE">
        <w:t>efficiënter worden besteed</w:t>
      </w:r>
      <w:r w:rsidR="00D62FBC">
        <w:t>,</w:t>
      </w:r>
      <w:r w:rsidR="001343DD">
        <w:t xml:space="preserve"> </w:t>
      </w:r>
      <w:r w:rsidR="00D62FBC" w:rsidRPr="00553DEE">
        <w:t>door bijvoorbeeld gezamenlijke inkoop en grotere contracten</w:t>
      </w:r>
      <w:r w:rsidR="00846702">
        <w:t xml:space="preserve">. </w:t>
      </w:r>
      <w:r w:rsidR="00D62FBC">
        <w:t>Dat komt mede door de</w:t>
      </w:r>
      <w:r w:rsidR="00FF3D58">
        <w:t xml:space="preserve"> </w:t>
      </w:r>
      <w:r w:rsidRPr="00553DEE">
        <w:lastRenderedPageBreak/>
        <w:t>spreid</w:t>
      </w:r>
      <w:r w:rsidR="00FF3D58">
        <w:t>ing</w:t>
      </w:r>
      <w:r w:rsidRPr="00553DEE">
        <w:t xml:space="preserve"> van projecten en </w:t>
      </w:r>
      <w:r w:rsidR="00846702">
        <w:t xml:space="preserve">de </w:t>
      </w:r>
      <w:r w:rsidRPr="00553DEE">
        <w:t>onzek</w:t>
      </w:r>
      <w:r w:rsidR="00846702">
        <w:t xml:space="preserve">ere en </w:t>
      </w:r>
      <w:r w:rsidR="00ED0AAF">
        <w:rPr>
          <w:i/>
        </w:rPr>
        <w:t>non-</w:t>
      </w:r>
      <w:proofErr w:type="spellStart"/>
      <w:r w:rsidR="00ED0AAF">
        <w:rPr>
          <w:i/>
        </w:rPr>
        <w:t>core</w:t>
      </w:r>
      <w:proofErr w:type="spellEnd"/>
      <w:r w:rsidR="00846702">
        <w:t xml:space="preserve"> financiering</w:t>
      </w:r>
      <w:r w:rsidR="00D62FBC">
        <w:t>.</w:t>
      </w:r>
      <w:r w:rsidR="005C244F">
        <w:t xml:space="preserve"> </w:t>
      </w:r>
      <w:r w:rsidR="002D4A7D">
        <w:t>Zo is het zo dat d</w:t>
      </w:r>
      <w:r w:rsidR="005C244F">
        <w:t xml:space="preserve">oordat projecten veelal uit </w:t>
      </w:r>
      <w:r w:rsidR="002D4A7D">
        <w:t xml:space="preserve">verschillende </w:t>
      </w:r>
      <w:r w:rsidR="005C244F">
        <w:t>regiokantoren</w:t>
      </w:r>
      <w:r w:rsidR="002D4A7D">
        <w:t xml:space="preserve"> worden geleid</w:t>
      </w:r>
      <w:r w:rsidR="005C244F">
        <w:t>, nu eenmaal veel overheadkosten.</w:t>
      </w:r>
      <w:r w:rsidR="002D4A7D">
        <w:t xml:space="preserve"> </w:t>
      </w:r>
    </w:p>
    <w:p w14:paraId="64C0A026" w14:textId="77777777" w:rsidR="00354379" w:rsidRPr="00553DEE" w:rsidRDefault="00354379" w:rsidP="00A13499"/>
    <w:p w14:paraId="70D8B969" w14:textId="4ACB8136" w:rsidR="00354379" w:rsidRPr="00553DEE" w:rsidRDefault="00846702" w:rsidP="00A13499">
      <w:r>
        <w:t>Het regulie</w:t>
      </w:r>
      <w:r w:rsidR="00354379" w:rsidRPr="00553DEE">
        <w:t>r</w:t>
      </w:r>
      <w:r>
        <w:t>e</w:t>
      </w:r>
      <w:r w:rsidR="00D62FBC">
        <w:t xml:space="preserve"> budget is beperkt w</w:t>
      </w:r>
      <w:r w:rsidR="00354379" w:rsidRPr="00553DEE">
        <w:t xml:space="preserve">at UNODC </w:t>
      </w:r>
      <w:r w:rsidR="00D62FBC">
        <w:t xml:space="preserve">dwingt </w:t>
      </w:r>
      <w:r w:rsidR="00354379" w:rsidRPr="00553DEE">
        <w:t xml:space="preserve">tot </w:t>
      </w:r>
      <w:r w:rsidR="001F648A" w:rsidRPr="00553DEE">
        <w:t>kosteneffectieve</w:t>
      </w:r>
      <w:r w:rsidR="00354379" w:rsidRPr="00553DEE">
        <w:t xml:space="preserve"> maatregelen</w:t>
      </w:r>
      <w:r w:rsidR="001F648A">
        <w:t xml:space="preserve"> voor activiteiten die daaruit</w:t>
      </w:r>
      <w:r w:rsidR="001F648A" w:rsidRPr="00553DEE">
        <w:t xml:space="preserve"> gefinancierd</w:t>
      </w:r>
      <w:r w:rsidR="00354379" w:rsidRPr="00553DEE">
        <w:t xml:space="preserve"> moeten worden. Dit betekent dat expert-bijeenkomsten </w:t>
      </w:r>
      <w:r w:rsidR="008E011B" w:rsidRPr="00553DEE">
        <w:t xml:space="preserve">over het algemeen plaatsvinden zonder vertaling en bijvoorbeeld </w:t>
      </w:r>
      <w:r w:rsidR="008E011B" w:rsidRPr="001F648A">
        <w:rPr>
          <w:i/>
        </w:rPr>
        <w:t xml:space="preserve">host </w:t>
      </w:r>
      <w:proofErr w:type="spellStart"/>
      <w:r w:rsidR="008E011B" w:rsidRPr="001F648A">
        <w:rPr>
          <w:i/>
        </w:rPr>
        <w:t>countries</w:t>
      </w:r>
      <w:proofErr w:type="spellEnd"/>
      <w:r w:rsidR="008E011B" w:rsidRPr="00553DEE">
        <w:t xml:space="preserve"> bereid moeten worden gevonden hotelkosten te betalen. </w:t>
      </w:r>
      <w:r w:rsidR="0060213A" w:rsidRPr="00553DEE">
        <w:t xml:space="preserve">In 2016 heeft UNODC voor 3,7 miljoen USD aan kostenbesparende maatregelen genomen, waaronder 2,7 miljoen USD in de uitgaven aan veldkantoren (huur en operationele kosten). </w:t>
      </w:r>
    </w:p>
    <w:p w14:paraId="3A46D893" w14:textId="77777777" w:rsidR="00FF3D58" w:rsidRDefault="00FF3D58" w:rsidP="00A13499"/>
    <w:p w14:paraId="476671E8" w14:textId="73FE1F4C" w:rsidR="00A6710B" w:rsidRPr="005A1763" w:rsidRDefault="009C426A" w:rsidP="005A1763">
      <w:r>
        <w:t xml:space="preserve">UNODC volgt het algemene VN-beleid wat betreft salarissen en secundaire arbeidsvoorwaarden. Dit wordt in de Vijfde Commissie vastgesteld. </w:t>
      </w:r>
    </w:p>
    <w:p w14:paraId="3A4707DB" w14:textId="77777777" w:rsidR="00FF3D58" w:rsidRPr="00FF3D58" w:rsidRDefault="00FF3D58" w:rsidP="00A13499">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3"/>
        <w:gridCol w:w="953"/>
      </w:tblGrid>
      <w:tr w:rsidR="00382AE3" w:rsidRPr="00EA0AA8" w14:paraId="5DB4CD2B" w14:textId="77777777" w:rsidTr="00B06CE6">
        <w:tc>
          <w:tcPr>
            <w:tcW w:w="6912" w:type="dxa"/>
            <w:tcBorders>
              <w:top w:val="single" w:sz="12" w:space="0" w:color="auto"/>
              <w:left w:val="single" w:sz="12" w:space="0" w:color="auto"/>
              <w:bottom w:val="single" w:sz="12" w:space="0" w:color="auto"/>
            </w:tcBorders>
            <w:shd w:val="clear" w:color="auto" w:fill="D0CECE"/>
          </w:tcPr>
          <w:p w14:paraId="4E625221" w14:textId="77777777" w:rsidR="00382AE3" w:rsidRPr="00EA0AA8" w:rsidRDefault="00382AE3"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4D2E0B79" w14:textId="77777777" w:rsidR="00382AE3" w:rsidRPr="00EA0AA8" w:rsidRDefault="00382AE3" w:rsidP="00382AE3">
            <w:pPr>
              <w:rPr>
                <w:b/>
              </w:rPr>
            </w:pPr>
            <w:r w:rsidRPr="00EA0AA8">
              <w:rPr>
                <w:b/>
              </w:rPr>
              <w:t>Score</w:t>
            </w:r>
          </w:p>
        </w:tc>
      </w:tr>
      <w:tr w:rsidR="00382AE3" w14:paraId="71DB06AD" w14:textId="77777777" w:rsidTr="00382AE3">
        <w:tc>
          <w:tcPr>
            <w:tcW w:w="6912" w:type="dxa"/>
            <w:tcBorders>
              <w:top w:val="single" w:sz="12" w:space="0" w:color="auto"/>
              <w:left w:val="single" w:sz="12" w:space="0" w:color="auto"/>
            </w:tcBorders>
            <w:shd w:val="clear" w:color="auto" w:fill="auto"/>
          </w:tcPr>
          <w:p w14:paraId="027DA0F4" w14:textId="77777777" w:rsidR="00382AE3" w:rsidRDefault="002568BC" w:rsidP="00382AE3">
            <w:r>
              <w:t>Verhouding programma-uitgaven/overhead</w:t>
            </w:r>
          </w:p>
        </w:tc>
        <w:tc>
          <w:tcPr>
            <w:tcW w:w="955" w:type="dxa"/>
            <w:tcBorders>
              <w:top w:val="single" w:sz="12" w:space="0" w:color="auto"/>
              <w:right w:val="single" w:sz="12" w:space="0" w:color="auto"/>
            </w:tcBorders>
            <w:shd w:val="clear" w:color="auto" w:fill="auto"/>
          </w:tcPr>
          <w:p w14:paraId="699D31BA" w14:textId="2F44FD21" w:rsidR="00382AE3" w:rsidRDefault="002D4A7D" w:rsidP="00382AE3">
            <w:r>
              <w:t>4</w:t>
            </w:r>
          </w:p>
        </w:tc>
      </w:tr>
      <w:tr w:rsidR="00382AE3" w14:paraId="2712D2B3" w14:textId="77777777" w:rsidTr="00382AE3">
        <w:tc>
          <w:tcPr>
            <w:tcW w:w="6912" w:type="dxa"/>
            <w:tcBorders>
              <w:left w:val="single" w:sz="12" w:space="0" w:color="auto"/>
            </w:tcBorders>
            <w:shd w:val="clear" w:color="auto" w:fill="auto"/>
          </w:tcPr>
          <w:p w14:paraId="04339C92" w14:textId="77777777" w:rsidR="00382AE3" w:rsidRDefault="002568BC" w:rsidP="00A21A93">
            <w:r>
              <w:t>Kosteneff</w:t>
            </w:r>
            <w:r w:rsidR="00A21A93">
              <w:t xml:space="preserve">ectiviteit </w:t>
            </w:r>
            <w:r>
              <w:t>programma’s</w:t>
            </w:r>
          </w:p>
        </w:tc>
        <w:tc>
          <w:tcPr>
            <w:tcW w:w="955" w:type="dxa"/>
            <w:tcBorders>
              <w:right w:val="single" w:sz="12" w:space="0" w:color="auto"/>
            </w:tcBorders>
            <w:shd w:val="clear" w:color="auto" w:fill="auto"/>
          </w:tcPr>
          <w:p w14:paraId="3AE2D64D" w14:textId="77777777" w:rsidR="00382AE3" w:rsidRDefault="00242097" w:rsidP="00382AE3">
            <w:r>
              <w:t>3</w:t>
            </w:r>
          </w:p>
        </w:tc>
      </w:tr>
      <w:tr w:rsidR="00382AE3" w14:paraId="74E53EB7" w14:textId="77777777" w:rsidTr="00382AE3">
        <w:tc>
          <w:tcPr>
            <w:tcW w:w="6912" w:type="dxa"/>
            <w:tcBorders>
              <w:left w:val="single" w:sz="12" w:space="0" w:color="auto"/>
            </w:tcBorders>
            <w:shd w:val="clear" w:color="auto" w:fill="auto"/>
          </w:tcPr>
          <w:p w14:paraId="7C5D14DB" w14:textId="77777777" w:rsidR="00382AE3" w:rsidRDefault="002568BC" w:rsidP="00382AE3">
            <w:r>
              <w:t>Versobering salarissen en secundaire arbeidsvoorwaarden</w:t>
            </w:r>
          </w:p>
        </w:tc>
        <w:tc>
          <w:tcPr>
            <w:tcW w:w="955" w:type="dxa"/>
            <w:tcBorders>
              <w:right w:val="single" w:sz="12" w:space="0" w:color="auto"/>
            </w:tcBorders>
            <w:shd w:val="clear" w:color="auto" w:fill="auto"/>
          </w:tcPr>
          <w:p w14:paraId="59189A91" w14:textId="04AFA549" w:rsidR="00382AE3" w:rsidRDefault="002D4A7D" w:rsidP="002D4A7D">
            <w:r>
              <w:t>4</w:t>
            </w:r>
          </w:p>
        </w:tc>
      </w:tr>
      <w:tr w:rsidR="00382AE3" w:rsidRPr="00EA0AA8" w14:paraId="05D6F3C1" w14:textId="77777777" w:rsidTr="00B06CE6">
        <w:tc>
          <w:tcPr>
            <w:tcW w:w="6912" w:type="dxa"/>
            <w:tcBorders>
              <w:top w:val="single" w:sz="12" w:space="0" w:color="auto"/>
              <w:left w:val="single" w:sz="12" w:space="0" w:color="auto"/>
              <w:bottom w:val="single" w:sz="12" w:space="0" w:color="auto"/>
            </w:tcBorders>
            <w:shd w:val="clear" w:color="auto" w:fill="D0CECE"/>
          </w:tcPr>
          <w:p w14:paraId="27F13EA7" w14:textId="77777777" w:rsidR="00382AE3" w:rsidRPr="00EA0AA8" w:rsidRDefault="00382AE3"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2FF9C3E0" w14:textId="68633703" w:rsidR="00382AE3" w:rsidRPr="00EA0AA8" w:rsidRDefault="002D4A7D" w:rsidP="00382AE3">
            <w:pPr>
              <w:rPr>
                <w:b/>
              </w:rPr>
            </w:pPr>
            <w:r>
              <w:rPr>
                <w:b/>
              </w:rPr>
              <w:t xml:space="preserve">4 </w:t>
            </w:r>
          </w:p>
        </w:tc>
      </w:tr>
    </w:tbl>
    <w:p w14:paraId="3354C6A2" w14:textId="77777777" w:rsidR="002D4A7D" w:rsidRDefault="002D4A7D" w:rsidP="0031751C"/>
    <w:p w14:paraId="6674C61A" w14:textId="7CACA539" w:rsidR="002D4A7D" w:rsidRDefault="002D4A7D" w:rsidP="0031751C">
      <w:r w:rsidRPr="000547A6">
        <w:t>Verandering sinds 2015:</w:t>
      </w:r>
      <w:r>
        <w:t xml:space="preserve"> positief  </w:t>
      </w:r>
      <w:r w:rsidRPr="00193994">
        <w:sym w:font="Wingdings" w:char="F0E9"/>
      </w:r>
    </w:p>
    <w:p w14:paraId="064B7206" w14:textId="77777777" w:rsidR="005A1763" w:rsidRPr="008517DE" w:rsidRDefault="005A1763" w:rsidP="0031751C"/>
    <w:p w14:paraId="07CA47FB" w14:textId="024DE4FA" w:rsidR="00DE343C" w:rsidRPr="004D372F" w:rsidRDefault="00A6710B" w:rsidP="004D372F">
      <w:pPr>
        <w:pStyle w:val="Heading2"/>
        <w:tabs>
          <w:tab w:val="left" w:pos="-1162"/>
          <w:tab w:val="left" w:pos="0"/>
          <w:tab w:val="num" w:pos="1160"/>
        </w:tabs>
        <w:spacing w:line="240" w:lineRule="auto"/>
        <w:ind w:hanging="1162"/>
      </w:pPr>
      <w:bookmarkStart w:id="64" w:name="_Toc479602614"/>
      <w:bookmarkStart w:id="65" w:name="_Toc491442797"/>
      <w:r>
        <w:t>4</w:t>
      </w:r>
      <w:r w:rsidR="000A22CF">
        <w:t>.</w:t>
      </w:r>
      <w:r w:rsidR="00382AE3">
        <w:t>9</w:t>
      </w:r>
      <w:r w:rsidR="004D372F" w:rsidRPr="004D372F">
        <w:t xml:space="preserve"> </w:t>
      </w:r>
      <w:r w:rsidR="004D372F">
        <w:tab/>
      </w:r>
      <w:r w:rsidR="00DE343C" w:rsidRPr="004D372F">
        <w:t>Corruptiebestrijding</w:t>
      </w:r>
      <w:bookmarkEnd w:id="64"/>
      <w:bookmarkEnd w:id="65"/>
      <w:r w:rsidR="000F53BE">
        <w:t xml:space="preserve"> </w:t>
      </w:r>
    </w:p>
    <w:p w14:paraId="25CD8C54" w14:textId="52BFD020" w:rsidR="00502C4F" w:rsidRDefault="005C5BBD" w:rsidP="00625ABD">
      <w:pPr>
        <w:autoSpaceDE w:val="0"/>
        <w:autoSpaceDN w:val="0"/>
        <w:adjustRightInd w:val="0"/>
        <w:spacing w:line="240" w:lineRule="auto"/>
        <w:rPr>
          <w:rFonts w:cs="Verdana"/>
          <w:szCs w:val="18"/>
        </w:rPr>
      </w:pPr>
      <w:r>
        <w:rPr>
          <w:rFonts w:cs="Verdana"/>
          <w:szCs w:val="18"/>
        </w:rPr>
        <w:t>UNODC is de hoeder binnen de VN van de Conventie te</w:t>
      </w:r>
      <w:r w:rsidR="00457070">
        <w:rPr>
          <w:rFonts w:cs="Verdana"/>
          <w:szCs w:val="18"/>
        </w:rPr>
        <w:t xml:space="preserve">gen corruptiebestrijding en </w:t>
      </w:r>
      <w:r>
        <w:rPr>
          <w:rFonts w:cs="Verdana"/>
          <w:szCs w:val="18"/>
        </w:rPr>
        <w:t xml:space="preserve">is gemandateerd om lidstaten hierbij te ondersteunen. </w:t>
      </w:r>
      <w:r w:rsidR="00625ABD">
        <w:rPr>
          <w:rFonts w:cs="Verdana"/>
          <w:szCs w:val="18"/>
        </w:rPr>
        <w:t xml:space="preserve">Binnen UNODC gelden stringente procedures om corruptie en fraude binnen de eigen organisatie te voorkomen. </w:t>
      </w:r>
      <w:r w:rsidR="00502C4F">
        <w:rPr>
          <w:rFonts w:cs="Verdana"/>
          <w:szCs w:val="18"/>
        </w:rPr>
        <w:t xml:space="preserve">Hiervoor is een </w:t>
      </w:r>
      <w:r w:rsidR="00CB063E" w:rsidRPr="003D2C37">
        <w:rPr>
          <w:rFonts w:cs="Verdana"/>
          <w:i/>
          <w:szCs w:val="18"/>
        </w:rPr>
        <w:t>framework</w:t>
      </w:r>
      <w:r w:rsidR="00502C4F">
        <w:rPr>
          <w:rFonts w:cs="Verdana"/>
          <w:szCs w:val="18"/>
        </w:rPr>
        <w:t xml:space="preserve"> opgesteld door het Secretariaat in N</w:t>
      </w:r>
      <w:r w:rsidR="002306B5">
        <w:rPr>
          <w:rFonts w:cs="Verdana"/>
          <w:szCs w:val="18"/>
        </w:rPr>
        <w:t xml:space="preserve">ew </w:t>
      </w:r>
      <w:r w:rsidR="00502C4F">
        <w:rPr>
          <w:rFonts w:cs="Verdana"/>
          <w:szCs w:val="18"/>
        </w:rPr>
        <w:t>Y</w:t>
      </w:r>
      <w:r w:rsidR="002306B5">
        <w:rPr>
          <w:rFonts w:cs="Verdana"/>
          <w:szCs w:val="18"/>
        </w:rPr>
        <w:t>ork</w:t>
      </w:r>
      <w:r w:rsidR="00502C4F">
        <w:rPr>
          <w:rFonts w:cs="Verdana"/>
          <w:szCs w:val="18"/>
        </w:rPr>
        <w:t xml:space="preserve"> waar UNODC zich aan dient te houden: het </w:t>
      </w:r>
      <w:r w:rsidR="00CB063E" w:rsidRPr="003D2C37">
        <w:rPr>
          <w:rFonts w:cs="Verdana"/>
          <w:i/>
          <w:szCs w:val="18"/>
        </w:rPr>
        <w:t xml:space="preserve">Anti </w:t>
      </w:r>
      <w:proofErr w:type="spellStart"/>
      <w:r w:rsidR="00CB063E" w:rsidRPr="003D2C37">
        <w:rPr>
          <w:rFonts w:cs="Verdana"/>
          <w:i/>
          <w:szCs w:val="18"/>
        </w:rPr>
        <w:t>Fraud</w:t>
      </w:r>
      <w:proofErr w:type="spellEnd"/>
      <w:r w:rsidR="00CB063E" w:rsidRPr="003D2C37">
        <w:rPr>
          <w:rFonts w:cs="Verdana"/>
          <w:i/>
          <w:szCs w:val="18"/>
        </w:rPr>
        <w:t xml:space="preserve"> </w:t>
      </w:r>
      <w:proofErr w:type="spellStart"/>
      <w:r w:rsidR="00CB063E" w:rsidRPr="003D2C37">
        <w:rPr>
          <w:rFonts w:cs="Verdana"/>
          <w:i/>
          <w:szCs w:val="18"/>
        </w:rPr>
        <w:t>and</w:t>
      </w:r>
      <w:proofErr w:type="spellEnd"/>
      <w:r w:rsidR="00CB063E" w:rsidRPr="003D2C37">
        <w:rPr>
          <w:rFonts w:cs="Verdana"/>
          <w:i/>
          <w:szCs w:val="18"/>
        </w:rPr>
        <w:t xml:space="preserve"> Anti </w:t>
      </w:r>
      <w:proofErr w:type="spellStart"/>
      <w:r w:rsidR="00CB063E" w:rsidRPr="003D2C37">
        <w:rPr>
          <w:rFonts w:cs="Verdana"/>
          <w:i/>
          <w:szCs w:val="18"/>
        </w:rPr>
        <w:t>Corruption</w:t>
      </w:r>
      <w:proofErr w:type="spellEnd"/>
      <w:r w:rsidR="00CB063E" w:rsidRPr="003D2C37">
        <w:rPr>
          <w:rFonts w:cs="Verdana"/>
          <w:i/>
          <w:szCs w:val="18"/>
        </w:rPr>
        <w:t xml:space="preserve"> Framework</w:t>
      </w:r>
      <w:r w:rsidR="00502C4F">
        <w:rPr>
          <w:rFonts w:cs="Verdana"/>
          <w:szCs w:val="18"/>
        </w:rPr>
        <w:t xml:space="preserve">. Belangrijkste aspect hiervan is dat de VN een </w:t>
      </w:r>
      <w:proofErr w:type="spellStart"/>
      <w:r w:rsidR="00502C4F" w:rsidRPr="001F648A">
        <w:rPr>
          <w:rFonts w:cs="Verdana"/>
          <w:i/>
          <w:szCs w:val="18"/>
        </w:rPr>
        <w:t>zero-tolerance</w:t>
      </w:r>
      <w:proofErr w:type="spellEnd"/>
      <w:r w:rsidR="00502C4F">
        <w:rPr>
          <w:rFonts w:cs="Verdana"/>
          <w:szCs w:val="18"/>
        </w:rPr>
        <w:t xml:space="preserve"> beleid hanteert als het gaat om corruptie en fraude bij het eigen personeel.</w:t>
      </w:r>
      <w:r w:rsidR="00625ABD">
        <w:rPr>
          <w:rFonts w:cs="Verdana"/>
          <w:szCs w:val="18"/>
        </w:rPr>
        <w:t xml:space="preserve"> </w:t>
      </w:r>
      <w:r w:rsidR="00502C4F">
        <w:rPr>
          <w:rFonts w:cs="Verdana"/>
          <w:szCs w:val="18"/>
        </w:rPr>
        <w:t xml:space="preserve">Het </w:t>
      </w:r>
      <w:r w:rsidR="00CB063E" w:rsidRPr="003D2C37">
        <w:rPr>
          <w:rFonts w:cs="Verdana"/>
          <w:i/>
          <w:szCs w:val="18"/>
        </w:rPr>
        <w:t xml:space="preserve">Office of </w:t>
      </w:r>
      <w:proofErr w:type="spellStart"/>
      <w:r w:rsidR="00CB063E" w:rsidRPr="003D2C37">
        <w:rPr>
          <w:rFonts w:cs="Verdana"/>
          <w:i/>
          <w:szCs w:val="18"/>
        </w:rPr>
        <w:t>Internal</w:t>
      </w:r>
      <w:proofErr w:type="spellEnd"/>
      <w:r w:rsidR="00CB063E" w:rsidRPr="003D2C37">
        <w:rPr>
          <w:rFonts w:cs="Verdana"/>
          <w:i/>
          <w:szCs w:val="18"/>
        </w:rPr>
        <w:t xml:space="preserve"> </w:t>
      </w:r>
      <w:proofErr w:type="spellStart"/>
      <w:r w:rsidR="00CB063E" w:rsidRPr="003D2C37">
        <w:rPr>
          <w:rFonts w:cs="Verdana"/>
          <w:i/>
          <w:szCs w:val="18"/>
        </w:rPr>
        <w:t>Oversight</w:t>
      </w:r>
      <w:proofErr w:type="spellEnd"/>
      <w:r w:rsidR="00502C4F">
        <w:rPr>
          <w:rFonts w:cs="Verdana"/>
          <w:szCs w:val="18"/>
        </w:rPr>
        <w:t xml:space="preserve"> is het uitvoerende orgaan </w:t>
      </w:r>
      <w:r w:rsidR="002306B5">
        <w:rPr>
          <w:rFonts w:cs="Verdana"/>
          <w:szCs w:val="18"/>
        </w:rPr>
        <w:t xml:space="preserve">dat </w:t>
      </w:r>
      <w:r w:rsidR="00502C4F">
        <w:rPr>
          <w:rFonts w:cs="Verdana"/>
          <w:szCs w:val="18"/>
        </w:rPr>
        <w:t xml:space="preserve">toeziet op naleving van dit </w:t>
      </w:r>
      <w:r w:rsidR="00CB063E" w:rsidRPr="003D2C37">
        <w:rPr>
          <w:rFonts w:cs="Verdana"/>
          <w:i/>
          <w:szCs w:val="18"/>
        </w:rPr>
        <w:t>Framework</w:t>
      </w:r>
      <w:r w:rsidR="00502C4F">
        <w:rPr>
          <w:rFonts w:cs="Verdana"/>
          <w:szCs w:val="18"/>
        </w:rPr>
        <w:t>. Om personeel op fraude en corruptie te attenderen, zijn speciale bewustmakingscampagnes ingesteld.</w:t>
      </w:r>
    </w:p>
    <w:p w14:paraId="5F3F26F1" w14:textId="77777777" w:rsidR="00502C4F" w:rsidRDefault="00502C4F" w:rsidP="00625ABD">
      <w:pPr>
        <w:autoSpaceDE w:val="0"/>
        <w:autoSpaceDN w:val="0"/>
        <w:adjustRightInd w:val="0"/>
        <w:spacing w:line="240" w:lineRule="auto"/>
        <w:rPr>
          <w:rFonts w:cs="Verdana"/>
          <w:szCs w:val="18"/>
        </w:rPr>
      </w:pPr>
    </w:p>
    <w:p w14:paraId="389FED50" w14:textId="66DC8972" w:rsidR="00BB0687" w:rsidRDefault="00625ABD" w:rsidP="00625ABD">
      <w:pPr>
        <w:autoSpaceDE w:val="0"/>
        <w:autoSpaceDN w:val="0"/>
        <w:adjustRightInd w:val="0"/>
        <w:spacing w:line="240" w:lineRule="auto"/>
        <w:rPr>
          <w:rFonts w:cs="Verdana"/>
          <w:szCs w:val="18"/>
        </w:rPr>
      </w:pPr>
      <w:r>
        <w:rPr>
          <w:rFonts w:cs="Verdana"/>
          <w:szCs w:val="18"/>
        </w:rPr>
        <w:t>Naast de eigen onderzoeksprocedures van UNODC, dient in dit verband te worden vermeld dat de VN beschikt</w:t>
      </w:r>
      <w:r w:rsidR="00D62FBC">
        <w:rPr>
          <w:rFonts w:cs="Verdana"/>
          <w:szCs w:val="18"/>
        </w:rPr>
        <w:t xml:space="preserve"> over een </w:t>
      </w:r>
      <w:r w:rsidR="00D62FBC" w:rsidRPr="001F648A">
        <w:rPr>
          <w:rFonts w:cs="Verdana"/>
          <w:i/>
          <w:szCs w:val="18"/>
        </w:rPr>
        <w:t xml:space="preserve">Joint </w:t>
      </w:r>
      <w:proofErr w:type="spellStart"/>
      <w:r w:rsidR="00D62FBC" w:rsidRPr="001F648A">
        <w:rPr>
          <w:rFonts w:cs="Verdana"/>
          <w:i/>
          <w:szCs w:val="18"/>
        </w:rPr>
        <w:t>Inspection</w:t>
      </w:r>
      <w:proofErr w:type="spellEnd"/>
      <w:r w:rsidR="00D62FBC" w:rsidRPr="001F648A">
        <w:rPr>
          <w:rFonts w:cs="Verdana"/>
          <w:i/>
          <w:szCs w:val="18"/>
        </w:rPr>
        <w:t xml:space="preserve"> Unit</w:t>
      </w:r>
      <w:r w:rsidR="00D62FBC">
        <w:rPr>
          <w:rFonts w:cs="Verdana"/>
          <w:szCs w:val="18"/>
        </w:rPr>
        <w:t>. Dit is</w:t>
      </w:r>
      <w:r>
        <w:rPr>
          <w:rFonts w:cs="Verdana"/>
          <w:szCs w:val="18"/>
        </w:rPr>
        <w:t xml:space="preserve"> een onafhankelijk orgaan dat in alle delen van het VN-systeem, dus ook UNODC, inspecties uitvoert, de boeken controleert en zo nodig onderzoek verricht naar fraude en corruptie. Met de oprichting van een onafhankelijke evaluatieafdeling, de Independent Evaluation Unit binnen UNODC is dit stelsel van controles verder versterkt.</w:t>
      </w:r>
    </w:p>
    <w:p w14:paraId="0D8A42D5" w14:textId="77777777" w:rsidR="000A22CF" w:rsidRDefault="000A22CF" w:rsidP="000A22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3"/>
        <w:gridCol w:w="953"/>
      </w:tblGrid>
      <w:tr w:rsidR="002A310E" w:rsidRPr="00EA0AA8" w14:paraId="5113E479" w14:textId="77777777" w:rsidTr="00B06CE6">
        <w:tc>
          <w:tcPr>
            <w:tcW w:w="6912" w:type="dxa"/>
            <w:tcBorders>
              <w:top w:val="single" w:sz="12" w:space="0" w:color="auto"/>
              <w:left w:val="single" w:sz="12" w:space="0" w:color="auto"/>
              <w:bottom w:val="single" w:sz="12" w:space="0" w:color="auto"/>
            </w:tcBorders>
            <w:shd w:val="clear" w:color="auto" w:fill="D0CECE"/>
          </w:tcPr>
          <w:p w14:paraId="3C442391"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2D3662CC" w14:textId="77777777" w:rsidR="002A310E" w:rsidRPr="00EA0AA8" w:rsidRDefault="002A310E" w:rsidP="00382AE3">
            <w:pPr>
              <w:rPr>
                <w:b/>
              </w:rPr>
            </w:pPr>
            <w:r w:rsidRPr="00EA0AA8">
              <w:rPr>
                <w:b/>
              </w:rPr>
              <w:t>Score</w:t>
            </w:r>
          </w:p>
        </w:tc>
      </w:tr>
      <w:tr w:rsidR="002A310E" w14:paraId="696400B8" w14:textId="77777777" w:rsidTr="00382AE3">
        <w:tc>
          <w:tcPr>
            <w:tcW w:w="6912" w:type="dxa"/>
            <w:tcBorders>
              <w:top w:val="single" w:sz="12" w:space="0" w:color="auto"/>
              <w:left w:val="single" w:sz="12" w:space="0" w:color="auto"/>
            </w:tcBorders>
            <w:shd w:val="clear" w:color="auto" w:fill="auto"/>
          </w:tcPr>
          <w:p w14:paraId="0242714E" w14:textId="77777777" w:rsidR="002A310E" w:rsidRDefault="000F53BE" w:rsidP="00382AE3">
            <w:r>
              <w:t>Maatregelen rechtmatigheidsrisico’s</w:t>
            </w:r>
          </w:p>
        </w:tc>
        <w:tc>
          <w:tcPr>
            <w:tcW w:w="955" w:type="dxa"/>
            <w:tcBorders>
              <w:top w:val="single" w:sz="12" w:space="0" w:color="auto"/>
              <w:right w:val="single" w:sz="12" w:space="0" w:color="auto"/>
            </w:tcBorders>
            <w:shd w:val="clear" w:color="auto" w:fill="auto"/>
          </w:tcPr>
          <w:p w14:paraId="7B77B136" w14:textId="77777777" w:rsidR="002A310E" w:rsidRDefault="00EF510E" w:rsidP="00382AE3">
            <w:r>
              <w:t>3</w:t>
            </w:r>
          </w:p>
        </w:tc>
      </w:tr>
      <w:tr w:rsidR="002A310E" w14:paraId="610C04EB" w14:textId="77777777" w:rsidTr="00382AE3">
        <w:tc>
          <w:tcPr>
            <w:tcW w:w="6912" w:type="dxa"/>
            <w:tcBorders>
              <w:left w:val="single" w:sz="12" w:space="0" w:color="auto"/>
            </w:tcBorders>
            <w:shd w:val="clear" w:color="auto" w:fill="auto"/>
          </w:tcPr>
          <w:p w14:paraId="3B944277" w14:textId="77777777" w:rsidR="002A310E" w:rsidRDefault="000F53BE" w:rsidP="00382AE3">
            <w:r>
              <w:t>Maatregelen doelmatigheidsrisico’s</w:t>
            </w:r>
          </w:p>
        </w:tc>
        <w:tc>
          <w:tcPr>
            <w:tcW w:w="955" w:type="dxa"/>
            <w:tcBorders>
              <w:right w:val="single" w:sz="12" w:space="0" w:color="auto"/>
            </w:tcBorders>
            <w:shd w:val="clear" w:color="auto" w:fill="auto"/>
          </w:tcPr>
          <w:p w14:paraId="6D638326" w14:textId="77777777" w:rsidR="002A310E" w:rsidRDefault="00EF510E" w:rsidP="00382AE3">
            <w:r>
              <w:t>3</w:t>
            </w:r>
          </w:p>
        </w:tc>
      </w:tr>
      <w:tr w:rsidR="002A310E" w14:paraId="547E0E15" w14:textId="77777777" w:rsidTr="00382AE3">
        <w:tc>
          <w:tcPr>
            <w:tcW w:w="6912" w:type="dxa"/>
            <w:tcBorders>
              <w:left w:val="single" w:sz="12" w:space="0" w:color="auto"/>
            </w:tcBorders>
            <w:shd w:val="clear" w:color="auto" w:fill="auto"/>
          </w:tcPr>
          <w:p w14:paraId="1515B03E" w14:textId="77777777" w:rsidR="002A310E" w:rsidRDefault="000F53BE" w:rsidP="000F53BE">
            <w:r>
              <w:t xml:space="preserve">Anti-corruptiebeleid </w:t>
            </w:r>
          </w:p>
        </w:tc>
        <w:tc>
          <w:tcPr>
            <w:tcW w:w="955" w:type="dxa"/>
            <w:tcBorders>
              <w:right w:val="single" w:sz="12" w:space="0" w:color="auto"/>
            </w:tcBorders>
            <w:shd w:val="clear" w:color="auto" w:fill="auto"/>
          </w:tcPr>
          <w:p w14:paraId="102DF349" w14:textId="77777777" w:rsidR="002A310E" w:rsidRDefault="00EF510E" w:rsidP="00382AE3">
            <w:r>
              <w:t>4</w:t>
            </w:r>
          </w:p>
        </w:tc>
      </w:tr>
      <w:tr w:rsidR="000F53BE" w14:paraId="04B624FB" w14:textId="77777777" w:rsidTr="00382AE3">
        <w:tc>
          <w:tcPr>
            <w:tcW w:w="6912" w:type="dxa"/>
            <w:tcBorders>
              <w:left w:val="single" w:sz="12" w:space="0" w:color="auto"/>
            </w:tcBorders>
            <w:shd w:val="clear" w:color="auto" w:fill="auto"/>
          </w:tcPr>
          <w:p w14:paraId="15E83A43" w14:textId="77777777" w:rsidR="000F53BE" w:rsidRDefault="000F53BE" w:rsidP="00382AE3">
            <w:r>
              <w:t>Transparantie integriteitsschendingen</w:t>
            </w:r>
          </w:p>
        </w:tc>
        <w:tc>
          <w:tcPr>
            <w:tcW w:w="955" w:type="dxa"/>
            <w:tcBorders>
              <w:right w:val="single" w:sz="12" w:space="0" w:color="auto"/>
            </w:tcBorders>
            <w:shd w:val="clear" w:color="auto" w:fill="auto"/>
          </w:tcPr>
          <w:p w14:paraId="684E377F" w14:textId="2EC1975E" w:rsidR="000F53BE" w:rsidRDefault="00413A3D" w:rsidP="00382AE3">
            <w:r>
              <w:t>3</w:t>
            </w:r>
          </w:p>
        </w:tc>
      </w:tr>
      <w:tr w:rsidR="002A310E" w:rsidRPr="00EA0AA8" w14:paraId="4DF5FB06" w14:textId="77777777" w:rsidTr="00B06CE6">
        <w:tc>
          <w:tcPr>
            <w:tcW w:w="6912" w:type="dxa"/>
            <w:tcBorders>
              <w:top w:val="single" w:sz="12" w:space="0" w:color="auto"/>
              <w:left w:val="single" w:sz="12" w:space="0" w:color="auto"/>
              <w:bottom w:val="single" w:sz="12" w:space="0" w:color="auto"/>
            </w:tcBorders>
            <w:shd w:val="clear" w:color="auto" w:fill="D0CECE"/>
          </w:tcPr>
          <w:p w14:paraId="27B076C8"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72730855" w14:textId="53D8AF7D" w:rsidR="002A310E" w:rsidRPr="00EA0AA8" w:rsidRDefault="00EF510E" w:rsidP="00382AE3">
            <w:pPr>
              <w:rPr>
                <w:b/>
              </w:rPr>
            </w:pPr>
            <w:r>
              <w:rPr>
                <w:b/>
              </w:rPr>
              <w:t>3</w:t>
            </w:r>
          </w:p>
        </w:tc>
      </w:tr>
    </w:tbl>
    <w:p w14:paraId="0506724D" w14:textId="77777777" w:rsidR="002B7582" w:rsidRDefault="002B7582" w:rsidP="002B7582"/>
    <w:p w14:paraId="1AC52913" w14:textId="77777777" w:rsidR="002306B5" w:rsidRDefault="002306B5" w:rsidP="002306B5">
      <w:r w:rsidRPr="000547A6">
        <w:t xml:space="preserve">Verandering sinds 2015: neutraal = </w:t>
      </w:r>
      <w:r w:rsidRPr="00193994">
        <w:sym w:font="Wingdings" w:char="F0E8"/>
      </w:r>
    </w:p>
    <w:p w14:paraId="4DA4C3B3" w14:textId="77777777" w:rsidR="002306B5" w:rsidRDefault="002306B5" w:rsidP="002B7582"/>
    <w:p w14:paraId="69B3CB8A" w14:textId="77777777" w:rsidR="002B7582" w:rsidRDefault="002B7582" w:rsidP="002B7582"/>
    <w:p w14:paraId="2C515DA3" w14:textId="77777777" w:rsidR="002B7582" w:rsidRDefault="002B7582" w:rsidP="002B7582"/>
    <w:p w14:paraId="62BEB346" w14:textId="150D2AEB" w:rsidR="0060213A" w:rsidRDefault="00750846" w:rsidP="0060213A">
      <w:pPr>
        <w:pStyle w:val="Heading1"/>
        <w:tabs>
          <w:tab w:val="num" w:pos="0"/>
        </w:tabs>
        <w:spacing w:after="240" w:line="240" w:lineRule="auto"/>
        <w:ind w:hanging="1162"/>
      </w:pPr>
      <w:bookmarkStart w:id="66" w:name="_Toc491442798"/>
      <w:r>
        <w:lastRenderedPageBreak/>
        <w:t>5</w:t>
      </w:r>
      <w:r w:rsidR="0060213A">
        <w:t xml:space="preserve"> </w:t>
      </w:r>
      <w:r w:rsidR="0060213A">
        <w:tab/>
      </w:r>
      <w:bookmarkStart w:id="67" w:name="_Toc348364679"/>
      <w:bookmarkStart w:id="68" w:name="_Toc479602615"/>
      <w:r w:rsidR="0060213A">
        <w:t>Relevantie van de organisatie</w:t>
      </w:r>
      <w:bookmarkEnd w:id="67"/>
      <w:bookmarkEnd w:id="68"/>
      <w:bookmarkEnd w:id="66"/>
    </w:p>
    <w:p w14:paraId="353448B9" w14:textId="53E6CE51" w:rsidR="00E15280" w:rsidRDefault="00E15280" w:rsidP="00E15280">
      <w:r>
        <w:t>Dit hoofdstuk behandelt de relevantie van de organisatie voor de Nederlandse BHOS-prioriteiten. Hierbij wordt een driedeling gemaakt: een organisatie is relevant voor een BHOS-thema indien van direct belang voor een beleidsonderwerp, een organisatie is beperkt relevant als hij deels of indirect van belang is voor het beleidsonderwerp of een organisatie is niet relevant als hij niet van belang is voor het beleidsonderwerp. Ten aanzien van het thema gender geldt dat een organisatie ook als relevant is aangemerkt wanneer het gender in substantiële mate toepast als dwarsdoorsnijdend thema. Het presteren van de organisatie op de relevante thema’s wordt vervolgens gescoord op uitvoerende, normerende of coördinerende activiteiten op dat thema.</w:t>
      </w:r>
    </w:p>
    <w:p w14:paraId="5885E625" w14:textId="77777777" w:rsidR="005A1763" w:rsidRPr="00E15280" w:rsidRDefault="005A1763" w:rsidP="00E15280"/>
    <w:p w14:paraId="2529746D" w14:textId="2AAA77CE" w:rsidR="0060213A" w:rsidRPr="004D372F" w:rsidRDefault="00750846" w:rsidP="0060213A">
      <w:pPr>
        <w:pStyle w:val="Heading2"/>
        <w:tabs>
          <w:tab w:val="left" w:pos="-1162"/>
          <w:tab w:val="left" w:pos="0"/>
        </w:tabs>
        <w:spacing w:line="240" w:lineRule="auto"/>
        <w:ind w:hanging="1134"/>
      </w:pPr>
      <w:bookmarkStart w:id="69" w:name="_Toc479602616"/>
      <w:bookmarkStart w:id="70" w:name="_Toc491442799"/>
      <w:r>
        <w:t>5</w:t>
      </w:r>
      <w:r w:rsidR="0060213A">
        <w:t xml:space="preserve">.1 </w:t>
      </w:r>
      <w:r w:rsidR="0060213A">
        <w:tab/>
        <w:t>Relevantie voor Nederlandse BHOS-prioriteiten</w:t>
      </w:r>
      <w:bookmarkEnd w:id="69"/>
      <w:bookmarkEnd w:id="70"/>
    </w:p>
    <w:p w14:paraId="0C5AA157" w14:textId="4B51A4E0" w:rsidR="00A6710B" w:rsidRDefault="00A6710B" w:rsidP="00A6710B">
      <w:pPr>
        <w:rPr>
          <w:u w:val="single"/>
        </w:rPr>
      </w:pPr>
      <w:r w:rsidRPr="00A6710B">
        <w:rPr>
          <w:u w:val="single"/>
        </w:rPr>
        <w:t>V</w:t>
      </w:r>
      <w:r w:rsidR="0060213A" w:rsidRPr="00A6710B">
        <w:rPr>
          <w:u w:val="single"/>
        </w:rPr>
        <w:t xml:space="preserve">eiligheid en </w:t>
      </w:r>
      <w:r w:rsidR="00F51860">
        <w:rPr>
          <w:u w:val="single"/>
        </w:rPr>
        <w:t>r</w:t>
      </w:r>
      <w:r w:rsidR="0060213A" w:rsidRPr="00A6710B">
        <w:rPr>
          <w:u w:val="single"/>
        </w:rPr>
        <w:t>echtsorde</w:t>
      </w:r>
    </w:p>
    <w:p w14:paraId="003B2FA6" w14:textId="302EC689" w:rsidR="0060213A" w:rsidRPr="00242097" w:rsidRDefault="0060213A" w:rsidP="00A6710B">
      <w:r w:rsidRPr="00A6710B">
        <w:rPr>
          <w:i/>
        </w:rPr>
        <w:t>Relevant</w:t>
      </w:r>
      <w:r w:rsidR="00E43463">
        <w:t xml:space="preserve">. </w:t>
      </w:r>
      <w:r>
        <w:t>De belangrijkste werkterreinen van de UNODC bevinden zich op deze BHOS prioriteit, die overeenkomt met SDG 16</w:t>
      </w:r>
      <w:r w:rsidR="00E43463">
        <w:t>:</w:t>
      </w:r>
      <w:r>
        <w:t xml:space="preserve"> </w:t>
      </w:r>
      <w:proofErr w:type="spellStart"/>
      <w:r w:rsidRPr="00242097">
        <w:rPr>
          <w:i/>
        </w:rPr>
        <w:t>peace</w:t>
      </w:r>
      <w:proofErr w:type="spellEnd"/>
      <w:r w:rsidRPr="00242097">
        <w:rPr>
          <w:i/>
        </w:rPr>
        <w:t xml:space="preserve"> </w:t>
      </w:r>
      <w:proofErr w:type="spellStart"/>
      <w:r w:rsidRPr="00242097">
        <w:rPr>
          <w:i/>
        </w:rPr>
        <w:t>justice</w:t>
      </w:r>
      <w:proofErr w:type="spellEnd"/>
      <w:r w:rsidRPr="00242097">
        <w:rPr>
          <w:i/>
        </w:rPr>
        <w:t xml:space="preserve"> </w:t>
      </w:r>
      <w:proofErr w:type="spellStart"/>
      <w:r w:rsidRPr="00242097">
        <w:rPr>
          <w:i/>
        </w:rPr>
        <w:t>and</w:t>
      </w:r>
      <w:proofErr w:type="spellEnd"/>
      <w:r w:rsidRPr="00242097">
        <w:rPr>
          <w:i/>
        </w:rPr>
        <w:t xml:space="preserve"> strong </w:t>
      </w:r>
      <w:proofErr w:type="spellStart"/>
      <w:r w:rsidRPr="00242097">
        <w:rPr>
          <w:i/>
        </w:rPr>
        <w:t>institutions</w:t>
      </w:r>
      <w:proofErr w:type="spellEnd"/>
      <w:r w:rsidRPr="00242097">
        <w:rPr>
          <w:i/>
        </w:rPr>
        <w:t xml:space="preserve">. </w:t>
      </w:r>
      <w:r w:rsidR="00CB063E" w:rsidRPr="002531C1">
        <w:t>Op de verschillende terreinen is UNODC een belangrijke speler, soms in samenwerking met anderen.</w:t>
      </w:r>
      <w:r w:rsidRPr="00242097">
        <w:rPr>
          <w:i/>
        </w:rPr>
        <w:t xml:space="preserve"> </w:t>
      </w:r>
    </w:p>
    <w:p w14:paraId="666A3EBA" w14:textId="77777777" w:rsidR="00A6710B" w:rsidRDefault="00A6710B" w:rsidP="00A6710B">
      <w:pPr>
        <w:autoSpaceDE w:val="0"/>
        <w:autoSpaceDN w:val="0"/>
        <w:adjustRightInd w:val="0"/>
        <w:spacing w:line="240" w:lineRule="auto"/>
        <w:rPr>
          <w:i/>
        </w:rPr>
      </w:pPr>
    </w:p>
    <w:p w14:paraId="4606CDC7" w14:textId="70BB8F02" w:rsidR="001976E2" w:rsidRDefault="0060213A" w:rsidP="00A6710B">
      <w:pPr>
        <w:autoSpaceDE w:val="0"/>
        <w:autoSpaceDN w:val="0"/>
        <w:adjustRightInd w:val="0"/>
        <w:spacing w:line="240" w:lineRule="auto"/>
      </w:pPr>
      <w:r>
        <w:rPr>
          <w:i/>
        </w:rPr>
        <w:t>Drugs:</w:t>
      </w:r>
      <w:r w:rsidR="00875F96">
        <w:rPr>
          <w:i/>
        </w:rPr>
        <w:t xml:space="preserve"> </w:t>
      </w:r>
      <w:r w:rsidR="001976E2">
        <w:t>De Nederlandse inzet op het internationale drugsbeleid is om deze meer humaan en gebalanceerd te krijgen en hard op te treden tegen georganiseerde druggerelateerde criminaliteit</w:t>
      </w:r>
      <w:r w:rsidR="002C12A9">
        <w:t xml:space="preserve"> en smokkel</w:t>
      </w:r>
      <w:r w:rsidR="00214682">
        <w:t xml:space="preserve">, ook </w:t>
      </w:r>
      <w:r w:rsidR="002C12A9">
        <w:t>een bron van inkomsten voor terroristen.</w:t>
      </w:r>
      <w:r w:rsidR="001976E2">
        <w:t xml:space="preserve"> UNODC levert hieraan een belangrijke bijdrage </w:t>
      </w:r>
      <w:r w:rsidR="002C12A9">
        <w:t>door middel van het analyseren en blokkeren van handels–</w:t>
      </w:r>
      <w:r w:rsidR="00214682">
        <w:t xml:space="preserve"> </w:t>
      </w:r>
      <w:r w:rsidR="002C12A9">
        <w:t>en smokkelroutes, capaciteitsopbouw van counter-narcotica eenheden in landen als Afghanistan en Iran,</w:t>
      </w:r>
      <w:r w:rsidR="00340DC3">
        <w:t xml:space="preserve"> </w:t>
      </w:r>
      <w:r w:rsidR="00214682">
        <w:t xml:space="preserve">het </w:t>
      </w:r>
      <w:r w:rsidR="00340DC3">
        <w:t>trainen van douane</w:t>
      </w:r>
      <w:r w:rsidR="00214682">
        <w:t>personeel</w:t>
      </w:r>
      <w:r w:rsidR="00340DC3">
        <w:t xml:space="preserve">, </w:t>
      </w:r>
      <w:r w:rsidR="002C12A9">
        <w:t xml:space="preserve">het opzetten van container controle programma’s en </w:t>
      </w:r>
      <w:r w:rsidR="00214682">
        <w:t xml:space="preserve">de </w:t>
      </w:r>
      <w:r w:rsidR="002C12A9">
        <w:t>opsporing van financiële stromen die zijn gelinkt aan smokkel van opiaten. Ook werkt UNODC aan het promoten van proportionele straffen voor drugsgebruik en kleinschalig bezit om overvolle gevangenissen, verstopte justitiële systemen en overbelaste handhaving tegen te gaan</w:t>
      </w:r>
      <w:r w:rsidR="00214682">
        <w:t>,</w:t>
      </w:r>
      <w:r w:rsidR="002C12A9">
        <w:t xml:space="preserve"> waardoor meer geld en ruimte overblijft voor meer prioritaire criminaliteits- en veiligheidsissues.</w:t>
      </w:r>
      <w:r w:rsidR="00340DC3">
        <w:t xml:space="preserve"> </w:t>
      </w:r>
    </w:p>
    <w:p w14:paraId="489F5A1A" w14:textId="77777777" w:rsidR="00B47068" w:rsidRPr="00875F96" w:rsidRDefault="00B47068" w:rsidP="0060213A">
      <w:pPr>
        <w:autoSpaceDE w:val="0"/>
        <w:autoSpaceDN w:val="0"/>
        <w:adjustRightInd w:val="0"/>
        <w:spacing w:line="240" w:lineRule="auto"/>
        <w:rPr>
          <w:i/>
        </w:rPr>
      </w:pPr>
    </w:p>
    <w:p w14:paraId="4D7F5326" w14:textId="6889FCE5" w:rsidR="0060213A" w:rsidRDefault="0060213A" w:rsidP="00A6710B">
      <w:pPr>
        <w:autoSpaceDE w:val="0"/>
        <w:autoSpaceDN w:val="0"/>
        <w:adjustRightInd w:val="0"/>
        <w:spacing w:line="240" w:lineRule="auto"/>
      </w:pPr>
      <w:r w:rsidRPr="00875F96">
        <w:rPr>
          <w:i/>
        </w:rPr>
        <w:t>Crime</w:t>
      </w:r>
      <w:r>
        <w:t xml:space="preserve">: UNODC is de internationale organisatie die de strijd aangaat met internationale georganiseerde misdaad en terrorisme. Nederland steunt UNODC hierin door diverse projecten te sponsoren op het gebied van piraterij in Somalië; gevangenissen en radicalisering in gevangenissen: door een groot project om mensenhandel in Afrika tegen te gaan (samen met UNHCR); door projecten op het gebied van luchthavenveiligheid te financieren en </w:t>
      </w:r>
      <w:r w:rsidR="00214682">
        <w:t xml:space="preserve">door </w:t>
      </w:r>
      <w:r>
        <w:t xml:space="preserve">containercontroles (om drugs te detecteren). Dit is slechts een handvol projecten, waar UNODC duidelijk meerwaarde kan laten zien als het gaat om </w:t>
      </w:r>
      <w:r w:rsidR="002C12A9">
        <w:t>veiligheid</w:t>
      </w:r>
      <w:r>
        <w:t xml:space="preserve"> en rechtsorde.</w:t>
      </w:r>
      <w:r w:rsidRPr="00F1115E">
        <w:t xml:space="preserve"> </w:t>
      </w:r>
      <w:r>
        <w:t>Komende jaren zal het ook steeds invloedrijker worden op de internationale aanpak van cybercrime.</w:t>
      </w:r>
    </w:p>
    <w:p w14:paraId="206730A2" w14:textId="77777777" w:rsidR="0060213A" w:rsidRDefault="0060213A" w:rsidP="00875F96">
      <w:pPr>
        <w:autoSpaceDE w:val="0"/>
        <w:autoSpaceDN w:val="0"/>
        <w:adjustRightInd w:val="0"/>
        <w:spacing w:line="240" w:lineRule="auto"/>
      </w:pPr>
      <w:r>
        <w:t xml:space="preserve"> </w:t>
      </w:r>
    </w:p>
    <w:p w14:paraId="6747649D" w14:textId="7614C287" w:rsidR="0060213A" w:rsidRPr="00A6710B" w:rsidRDefault="0060213A" w:rsidP="00A6710B">
      <w:pPr>
        <w:rPr>
          <w:u w:val="single"/>
        </w:rPr>
      </w:pPr>
      <w:r w:rsidRPr="00A6710B">
        <w:rPr>
          <w:u w:val="single"/>
        </w:rPr>
        <w:t xml:space="preserve">Seksuele en Reproductieve Gezondheid en </w:t>
      </w:r>
      <w:r w:rsidR="00A6710B">
        <w:rPr>
          <w:u w:val="single"/>
        </w:rPr>
        <w:t>Rechten (SRGR), inclusief HIV/A</w:t>
      </w:r>
      <w:r w:rsidRPr="00A6710B">
        <w:rPr>
          <w:u w:val="single"/>
        </w:rPr>
        <w:t>ids</w:t>
      </w:r>
    </w:p>
    <w:p w14:paraId="48EAA748" w14:textId="16305142" w:rsidR="000E21BC" w:rsidRDefault="0060213A" w:rsidP="00A6710B">
      <w:pPr>
        <w:autoSpaceDE w:val="0"/>
        <w:autoSpaceDN w:val="0"/>
        <w:adjustRightInd w:val="0"/>
        <w:spacing w:line="240" w:lineRule="auto"/>
        <w:rPr>
          <w:rFonts w:cs="Verdana"/>
          <w:szCs w:val="18"/>
        </w:rPr>
      </w:pPr>
      <w:r w:rsidRPr="00A6710B">
        <w:rPr>
          <w:i/>
        </w:rPr>
        <w:t>Relevant</w:t>
      </w:r>
      <w:r w:rsidRPr="00375A69">
        <w:t xml:space="preserve">. Het mandaat van UNODC </w:t>
      </w:r>
      <w:r w:rsidR="00413A3D">
        <w:t xml:space="preserve">zorgt </w:t>
      </w:r>
      <w:r w:rsidR="001F648A">
        <w:t>ervoor</w:t>
      </w:r>
      <w:r w:rsidR="001F648A" w:rsidRPr="00375A69">
        <w:t xml:space="preserve"> dat</w:t>
      </w:r>
      <w:r w:rsidRPr="00375A69">
        <w:t xml:space="preserve"> deze organisatie invloed heeft op hiv/</w:t>
      </w:r>
      <w:r w:rsidR="003C11CF" w:rsidRPr="00375A69">
        <w:t>aidsbeleid</w:t>
      </w:r>
      <w:r>
        <w:t>, gerelateerd aan injecterend drugsgebruik,</w:t>
      </w:r>
      <w:r w:rsidRPr="00375A69">
        <w:t xml:space="preserve"> op nationaal niveau.</w:t>
      </w:r>
      <w:r>
        <w:t xml:space="preserve"> </w:t>
      </w:r>
      <w:r w:rsidRPr="00375A69">
        <w:t xml:space="preserve">Voor een </w:t>
      </w:r>
      <w:r w:rsidR="00413A3D">
        <w:t xml:space="preserve">wereldwijde </w:t>
      </w:r>
      <w:r w:rsidRPr="00375A69">
        <w:t>effectieve aanpak van hiv/aids, vormt in Nederlandse ogen</w:t>
      </w:r>
      <w:r w:rsidR="00413A3D">
        <w:t xml:space="preserve"> de focus op</w:t>
      </w:r>
      <w:r w:rsidRPr="00375A69">
        <w:t xml:space="preserve"> </w:t>
      </w:r>
      <w:proofErr w:type="spellStart"/>
      <w:r w:rsidRPr="00F510B8">
        <w:rPr>
          <w:i/>
        </w:rPr>
        <w:t>harm</w:t>
      </w:r>
      <w:proofErr w:type="spellEnd"/>
      <w:r w:rsidRPr="00F510B8">
        <w:rPr>
          <w:i/>
        </w:rPr>
        <w:t xml:space="preserve"> </w:t>
      </w:r>
      <w:proofErr w:type="spellStart"/>
      <w:r w:rsidRPr="00F510B8">
        <w:rPr>
          <w:i/>
        </w:rPr>
        <w:t>reduction</w:t>
      </w:r>
      <w:proofErr w:type="spellEnd"/>
      <w:r w:rsidRPr="00375A69">
        <w:t xml:space="preserve"> een belangrijk element. Preventie van nieuwe </w:t>
      </w:r>
      <w:r w:rsidR="003C11CF" w:rsidRPr="00375A69">
        <w:t>hivinfecties</w:t>
      </w:r>
      <w:r w:rsidRPr="00375A69">
        <w:t xml:space="preserve"> is zwak in landen waar injecterende drugsgebruikers – die </w:t>
      </w:r>
      <w:r>
        <w:t>ten opzichte van de rest van de bevolking 24 keer zoveel risico</w:t>
      </w:r>
      <w:r w:rsidRPr="00375A69">
        <w:t xml:space="preserve"> lopen hiv+ te raken –</w:t>
      </w:r>
      <w:r>
        <w:t xml:space="preserve">wordt vanuit een criminaliteits- en </w:t>
      </w:r>
      <w:r w:rsidR="003C11CF">
        <w:t>drugsbestrijding</w:t>
      </w:r>
      <w:r w:rsidR="00B47068">
        <w:t xml:space="preserve"> invalshoek bekeken</w:t>
      </w:r>
      <w:r>
        <w:t xml:space="preserve">. Nederland zet zich </w:t>
      </w:r>
      <w:r w:rsidR="00B47068">
        <w:t xml:space="preserve">al </w:t>
      </w:r>
      <w:r>
        <w:t>jaren in om</w:t>
      </w:r>
      <w:r w:rsidR="00413A3D">
        <w:t xml:space="preserve"> niet alleen naar de criminele kant van drugshandel en –gebruik te kijken, maar</w:t>
      </w:r>
      <w:r>
        <w:t xml:space="preserve"> ook naar volksgezondheid</w:t>
      </w:r>
      <w:r w:rsidR="00413A3D">
        <w:t>.</w:t>
      </w:r>
      <w:r>
        <w:t>. De</w:t>
      </w:r>
      <w:r w:rsidR="00B47068">
        <w:t xml:space="preserve"> internationale</w:t>
      </w:r>
      <w:r>
        <w:t xml:space="preserve"> financiering van </w:t>
      </w:r>
      <w:proofErr w:type="spellStart"/>
      <w:r w:rsidR="00B47068" w:rsidRPr="002531C1">
        <w:rPr>
          <w:i/>
        </w:rPr>
        <w:t>harm</w:t>
      </w:r>
      <w:proofErr w:type="spellEnd"/>
      <w:r w:rsidR="00B47068" w:rsidRPr="002531C1">
        <w:rPr>
          <w:i/>
        </w:rPr>
        <w:t xml:space="preserve"> </w:t>
      </w:r>
      <w:proofErr w:type="spellStart"/>
      <w:r w:rsidR="00B47068" w:rsidRPr="002531C1">
        <w:rPr>
          <w:i/>
        </w:rPr>
        <w:t>reduction</w:t>
      </w:r>
      <w:proofErr w:type="spellEnd"/>
      <w:r w:rsidR="00B47068">
        <w:t xml:space="preserve"> maatregelen voor injecterende </w:t>
      </w:r>
      <w:r w:rsidR="003C11CF">
        <w:t>drugsgebruikers staat</w:t>
      </w:r>
      <w:r>
        <w:t xml:space="preserve"> onder druk doordat UNAIDS  te maken heeft met bezuinigingen</w:t>
      </w:r>
      <w:r w:rsidR="00047A3F">
        <w:t xml:space="preserve">, waar UNODC als </w:t>
      </w:r>
      <w:r w:rsidR="003C11CF">
        <w:t>cosponsor</w:t>
      </w:r>
      <w:r w:rsidR="00047A3F">
        <w:t xml:space="preserve"> door wordt geraakt</w:t>
      </w:r>
      <w:r>
        <w:t xml:space="preserve">. </w:t>
      </w:r>
      <w:r w:rsidRPr="00375A69">
        <w:t xml:space="preserve">Coherentie in de aanpak van UNAIDS met die van UNODC en technische ondersteuning van nationale </w:t>
      </w:r>
      <w:r w:rsidRPr="00375A69">
        <w:lastRenderedPageBreak/>
        <w:t>overheden is van belang</w:t>
      </w:r>
      <w:r w:rsidR="00413A3D">
        <w:t>.</w:t>
      </w:r>
      <w:r w:rsidRPr="00375A69">
        <w:t>. Ook worden onder auspiciën van UNODC hiv/</w:t>
      </w:r>
      <w:r w:rsidR="003C11CF" w:rsidRPr="00375A69">
        <w:t>aidsprojecten</w:t>
      </w:r>
      <w:r w:rsidRPr="00375A69">
        <w:t xml:space="preserve"> uitgevoerd die zich richten op het voorkomen van </w:t>
      </w:r>
      <w:r w:rsidR="003C11CF" w:rsidRPr="00375A69">
        <w:t>hiv-overdracht</w:t>
      </w:r>
      <w:r w:rsidRPr="00375A69">
        <w:t xml:space="preserve"> van moeder- op kind.</w:t>
      </w:r>
      <w:r>
        <w:t xml:space="preserve"> </w:t>
      </w:r>
    </w:p>
    <w:p w14:paraId="0120CEC6" w14:textId="77777777" w:rsidR="000E21BC" w:rsidRDefault="000E21BC" w:rsidP="000E21BC">
      <w:pPr>
        <w:autoSpaceDE w:val="0"/>
        <w:autoSpaceDN w:val="0"/>
        <w:adjustRightInd w:val="0"/>
        <w:spacing w:line="240" w:lineRule="auto"/>
        <w:rPr>
          <w:rFonts w:cs="Verdana"/>
          <w:szCs w:val="18"/>
        </w:rPr>
      </w:pPr>
    </w:p>
    <w:p w14:paraId="253AB151" w14:textId="77777777" w:rsidR="00A6710B" w:rsidRDefault="0060213A" w:rsidP="00A6710B">
      <w:pPr>
        <w:pStyle w:val="ListParagraph"/>
        <w:autoSpaceDE w:val="0"/>
        <w:autoSpaceDN w:val="0"/>
        <w:adjustRightInd w:val="0"/>
        <w:spacing w:line="240" w:lineRule="auto"/>
        <w:ind w:left="0"/>
      </w:pPr>
      <w:r w:rsidRPr="00A6710B">
        <w:rPr>
          <w:u w:val="single"/>
        </w:rPr>
        <w:t>Gendergelijkheid</w:t>
      </w:r>
    </w:p>
    <w:p w14:paraId="12090464" w14:textId="3CFBBC64" w:rsidR="0060213A" w:rsidRPr="008034CA" w:rsidRDefault="00DF57D5" w:rsidP="00A6710B">
      <w:pPr>
        <w:pStyle w:val="ListParagraph"/>
        <w:autoSpaceDE w:val="0"/>
        <w:autoSpaceDN w:val="0"/>
        <w:adjustRightInd w:val="0"/>
        <w:spacing w:line="240" w:lineRule="auto"/>
        <w:ind w:left="0"/>
        <w:rPr>
          <w:rFonts w:cs="Verdana"/>
          <w:szCs w:val="18"/>
          <w:lang w:val="en-US"/>
        </w:rPr>
      </w:pPr>
      <w:r>
        <w:rPr>
          <w:rFonts w:cs="Verdana"/>
          <w:i/>
          <w:szCs w:val="18"/>
        </w:rPr>
        <w:t>R</w:t>
      </w:r>
      <w:r w:rsidR="0060213A" w:rsidRPr="00A6710B">
        <w:rPr>
          <w:rFonts w:cs="Verdana"/>
          <w:i/>
          <w:szCs w:val="18"/>
        </w:rPr>
        <w:t>elevant.</w:t>
      </w:r>
      <w:r w:rsidR="0060213A" w:rsidRPr="000E21BC">
        <w:rPr>
          <w:rFonts w:cs="Verdana"/>
          <w:szCs w:val="18"/>
        </w:rPr>
        <w:t xml:space="preserve"> UNODC </w:t>
      </w:r>
      <w:r w:rsidR="00F77B9B">
        <w:rPr>
          <w:rFonts w:cs="Verdana"/>
          <w:szCs w:val="18"/>
        </w:rPr>
        <w:t xml:space="preserve">speelt </w:t>
      </w:r>
      <w:r w:rsidR="0060213A" w:rsidRPr="000E21BC">
        <w:rPr>
          <w:rFonts w:cs="Verdana"/>
          <w:szCs w:val="18"/>
        </w:rPr>
        <w:t xml:space="preserve">een rol </w:t>
      </w:r>
      <w:r w:rsidR="00343296">
        <w:rPr>
          <w:rFonts w:cs="Verdana"/>
          <w:szCs w:val="18"/>
        </w:rPr>
        <w:t xml:space="preserve">bij de bescherming van de rechten van vrouwen </w:t>
      </w:r>
      <w:r w:rsidR="0060213A" w:rsidRPr="000E21BC">
        <w:rPr>
          <w:rFonts w:cs="Verdana"/>
          <w:szCs w:val="18"/>
        </w:rPr>
        <w:t xml:space="preserve"> </w:t>
      </w:r>
      <w:r w:rsidR="00343296">
        <w:rPr>
          <w:rFonts w:cs="Verdana"/>
          <w:szCs w:val="18"/>
        </w:rPr>
        <w:t xml:space="preserve">bij </w:t>
      </w:r>
      <w:r w:rsidR="0060213A" w:rsidRPr="000E21BC">
        <w:rPr>
          <w:rFonts w:cs="Verdana"/>
          <w:szCs w:val="18"/>
        </w:rPr>
        <w:t>mensenhandel, waarvan 70</w:t>
      </w:r>
      <w:r w:rsidR="00F77B9B">
        <w:rPr>
          <w:rFonts w:cs="Verdana"/>
          <w:szCs w:val="18"/>
        </w:rPr>
        <w:t>%</w:t>
      </w:r>
      <w:r w:rsidR="0060213A" w:rsidRPr="000E21BC">
        <w:rPr>
          <w:rFonts w:cs="Verdana"/>
          <w:szCs w:val="18"/>
        </w:rPr>
        <w:t xml:space="preserve"> vrouw is</w:t>
      </w:r>
      <w:r w:rsidR="00343296">
        <w:rPr>
          <w:rFonts w:cs="Verdana"/>
          <w:szCs w:val="18"/>
        </w:rPr>
        <w:t>. Hierbij</w:t>
      </w:r>
      <w:r w:rsidR="0060213A" w:rsidRPr="000E21BC">
        <w:rPr>
          <w:rFonts w:cs="Verdana"/>
          <w:szCs w:val="18"/>
        </w:rPr>
        <w:t xml:space="preserve"> </w:t>
      </w:r>
      <w:r w:rsidR="00343296">
        <w:rPr>
          <w:rFonts w:cs="Verdana"/>
          <w:szCs w:val="18"/>
        </w:rPr>
        <w:t>steunt het</w:t>
      </w:r>
      <w:r w:rsidR="0060213A" w:rsidRPr="000E21BC">
        <w:rPr>
          <w:rFonts w:cs="Verdana"/>
          <w:szCs w:val="18"/>
        </w:rPr>
        <w:t xml:space="preserve"> op het UNTOC-protocol inzake mensenhandel  met nadrukkelijke aandacht voor</w:t>
      </w:r>
      <w:r w:rsidR="00F77B9B">
        <w:rPr>
          <w:rFonts w:cs="Verdana"/>
          <w:szCs w:val="18"/>
        </w:rPr>
        <w:t xml:space="preserve"> slachtoffers van mensenhandel</w:t>
      </w:r>
      <w:r w:rsidR="00343296">
        <w:rPr>
          <w:rFonts w:cs="Verdana"/>
          <w:szCs w:val="18"/>
        </w:rPr>
        <w:t>, die grotendeels uit vrouwen bestaan</w:t>
      </w:r>
      <w:r w:rsidR="0060213A" w:rsidRPr="000E21BC">
        <w:rPr>
          <w:rFonts w:cs="Verdana"/>
          <w:szCs w:val="18"/>
        </w:rPr>
        <w:t xml:space="preserve">. UNODC heeft binnen het VN-systeem de </w:t>
      </w:r>
      <w:r w:rsidR="00F77B9B">
        <w:rPr>
          <w:rFonts w:cs="Verdana"/>
          <w:szCs w:val="18"/>
        </w:rPr>
        <w:t>leiding</w:t>
      </w:r>
      <w:r w:rsidR="00F77B9B" w:rsidRPr="000E21BC">
        <w:rPr>
          <w:rFonts w:cs="Verdana"/>
          <w:szCs w:val="18"/>
        </w:rPr>
        <w:t xml:space="preserve"> </w:t>
      </w:r>
      <w:r w:rsidR="00F77B9B">
        <w:rPr>
          <w:rFonts w:cs="Verdana"/>
          <w:szCs w:val="18"/>
        </w:rPr>
        <w:t>over</w:t>
      </w:r>
      <w:r w:rsidR="00F77B9B" w:rsidRPr="000E21BC">
        <w:rPr>
          <w:rFonts w:cs="Verdana"/>
          <w:szCs w:val="18"/>
        </w:rPr>
        <w:t xml:space="preserve"> </w:t>
      </w:r>
      <w:r w:rsidR="0060213A" w:rsidRPr="000E21BC">
        <w:rPr>
          <w:rFonts w:cs="Verdana"/>
          <w:szCs w:val="18"/>
        </w:rPr>
        <w:t>dit thema en is voorzitter van een samenwerkingsorgaan dat alle VN-organisaties die hiermee bezig zijn bijeenbrengt, waaronder UN-</w:t>
      </w:r>
      <w:proofErr w:type="spellStart"/>
      <w:r w:rsidR="0060213A" w:rsidRPr="000E21BC">
        <w:rPr>
          <w:rFonts w:cs="Verdana"/>
          <w:szCs w:val="18"/>
        </w:rPr>
        <w:t>Women</w:t>
      </w:r>
      <w:proofErr w:type="spellEnd"/>
      <w:r w:rsidR="0060213A" w:rsidRPr="000E21BC">
        <w:rPr>
          <w:rFonts w:cs="Verdana"/>
          <w:szCs w:val="18"/>
        </w:rPr>
        <w:t xml:space="preserve">. Bij de aanpak </w:t>
      </w:r>
      <w:r w:rsidR="00943926">
        <w:rPr>
          <w:rFonts w:cs="Verdana"/>
          <w:szCs w:val="18"/>
        </w:rPr>
        <w:t>van</w:t>
      </w:r>
      <w:r w:rsidR="00943926" w:rsidRPr="000E21BC">
        <w:rPr>
          <w:rFonts w:cs="Verdana"/>
          <w:szCs w:val="18"/>
        </w:rPr>
        <w:t xml:space="preserve"> </w:t>
      </w:r>
      <w:r w:rsidR="0060213A" w:rsidRPr="000E21BC">
        <w:rPr>
          <w:rFonts w:cs="Verdana"/>
          <w:szCs w:val="18"/>
        </w:rPr>
        <w:t>drugs en gezondheid is ook speciale aanpak voor vrouwen.</w:t>
      </w:r>
      <w:r w:rsidR="00D878E1">
        <w:rPr>
          <w:rFonts w:cs="Verdana"/>
          <w:szCs w:val="18"/>
        </w:rPr>
        <w:t xml:space="preserve"> Vrouwen hebben speciale behoeftes, zeker als ze zwanger zijn of kinderen hebben. Professionals worden getraind om vrouwen zo goed mogelijk te begeleiden. </w:t>
      </w:r>
      <w:r w:rsidR="0060213A" w:rsidRPr="000E21BC">
        <w:rPr>
          <w:rFonts w:cs="Verdana"/>
          <w:szCs w:val="18"/>
        </w:rPr>
        <w:t xml:space="preserve">Ook bij de politietrainingen die UNODC verzorgt wordt aandacht besteed aan genderaspecten. Tevens bevordert UNODC </w:t>
      </w:r>
      <w:r w:rsidR="0060213A" w:rsidRPr="000E21BC">
        <w:rPr>
          <w:rFonts w:cs="Verdana"/>
          <w:i/>
          <w:szCs w:val="18"/>
        </w:rPr>
        <w:t xml:space="preserve">access </w:t>
      </w:r>
      <w:proofErr w:type="spellStart"/>
      <w:r w:rsidR="0060213A" w:rsidRPr="000E21BC">
        <w:rPr>
          <w:rFonts w:cs="Verdana"/>
          <w:i/>
          <w:szCs w:val="18"/>
        </w:rPr>
        <w:t>to</w:t>
      </w:r>
      <w:proofErr w:type="spellEnd"/>
      <w:r w:rsidR="0060213A" w:rsidRPr="000E21BC">
        <w:rPr>
          <w:rFonts w:cs="Verdana"/>
          <w:i/>
          <w:szCs w:val="18"/>
        </w:rPr>
        <w:t xml:space="preserve"> </w:t>
      </w:r>
      <w:proofErr w:type="spellStart"/>
      <w:r w:rsidR="0060213A" w:rsidRPr="000E21BC">
        <w:rPr>
          <w:rFonts w:cs="Verdana"/>
          <w:i/>
          <w:szCs w:val="18"/>
        </w:rPr>
        <w:t>justice</w:t>
      </w:r>
      <w:proofErr w:type="spellEnd"/>
      <w:r w:rsidR="0060213A" w:rsidRPr="000E21BC">
        <w:rPr>
          <w:rFonts w:cs="Verdana"/>
          <w:i/>
          <w:szCs w:val="18"/>
        </w:rPr>
        <w:t xml:space="preserve"> </w:t>
      </w:r>
      <w:r w:rsidR="0060213A" w:rsidRPr="000E21BC">
        <w:rPr>
          <w:rFonts w:cs="Verdana"/>
          <w:szCs w:val="18"/>
        </w:rPr>
        <w:t xml:space="preserve">voor vrouwen en meisjes door landen ertoe te bewegen discriminerende wetten en praktijken uit hun justitieel systeem te verwijderen en vrouwen te </w:t>
      </w:r>
      <w:r w:rsidR="00CB063E" w:rsidRPr="003D2C37">
        <w:rPr>
          <w:rFonts w:cs="Verdana"/>
          <w:szCs w:val="18"/>
        </w:rPr>
        <w:t>versterken</w:t>
      </w:r>
      <w:r w:rsidR="00943926" w:rsidRPr="000E21BC">
        <w:rPr>
          <w:rFonts w:cs="Verdana"/>
          <w:i/>
          <w:szCs w:val="18"/>
        </w:rPr>
        <w:t xml:space="preserve"> </w:t>
      </w:r>
      <w:r w:rsidR="0060213A" w:rsidRPr="000E21BC">
        <w:rPr>
          <w:rFonts w:cs="Verdana"/>
          <w:szCs w:val="18"/>
        </w:rPr>
        <w:t xml:space="preserve">zodat ze hun eigen rechten kunnen opeisen. </w:t>
      </w:r>
      <w:r w:rsidR="0060213A" w:rsidRPr="000E21BC">
        <w:rPr>
          <w:rFonts w:cs="Verdana"/>
          <w:szCs w:val="18"/>
          <w:lang w:val="en-US"/>
        </w:rPr>
        <w:t xml:space="preserve">UNODC </w:t>
      </w:r>
      <w:proofErr w:type="spellStart"/>
      <w:r w:rsidR="0060213A" w:rsidRPr="000E21BC">
        <w:rPr>
          <w:rFonts w:cs="Verdana"/>
          <w:szCs w:val="18"/>
          <w:lang w:val="en-US"/>
        </w:rPr>
        <w:t>promoot</w:t>
      </w:r>
      <w:proofErr w:type="spellEnd"/>
      <w:r w:rsidR="0060213A" w:rsidRPr="000E21BC">
        <w:rPr>
          <w:rFonts w:cs="Verdana"/>
          <w:szCs w:val="18"/>
          <w:lang w:val="en-US"/>
        </w:rPr>
        <w:t xml:space="preserve"> </w:t>
      </w:r>
      <w:proofErr w:type="spellStart"/>
      <w:r w:rsidR="0060213A" w:rsidRPr="000E21BC">
        <w:rPr>
          <w:rFonts w:cs="Verdana"/>
          <w:szCs w:val="18"/>
          <w:lang w:val="en-US"/>
        </w:rPr>
        <w:t>en</w:t>
      </w:r>
      <w:proofErr w:type="spellEnd"/>
      <w:r w:rsidR="0060213A" w:rsidRPr="000E21BC">
        <w:rPr>
          <w:rFonts w:cs="Verdana"/>
          <w:szCs w:val="18"/>
          <w:lang w:val="en-US"/>
        </w:rPr>
        <w:t xml:space="preserve"> </w:t>
      </w:r>
      <w:proofErr w:type="spellStart"/>
      <w:r w:rsidR="0060213A" w:rsidRPr="000E21BC">
        <w:rPr>
          <w:rFonts w:cs="Verdana"/>
          <w:szCs w:val="18"/>
          <w:lang w:val="en-US"/>
        </w:rPr>
        <w:t>helpt</w:t>
      </w:r>
      <w:proofErr w:type="spellEnd"/>
      <w:r w:rsidR="0060213A" w:rsidRPr="000E21BC">
        <w:rPr>
          <w:rFonts w:cs="Verdana"/>
          <w:szCs w:val="18"/>
          <w:lang w:val="en-US"/>
        </w:rPr>
        <w:t xml:space="preserve"> </w:t>
      </w:r>
      <w:proofErr w:type="spellStart"/>
      <w:r w:rsidR="0060213A" w:rsidRPr="000E21BC">
        <w:rPr>
          <w:rFonts w:cs="Verdana"/>
          <w:szCs w:val="18"/>
          <w:lang w:val="en-US"/>
        </w:rPr>
        <w:t>bij</w:t>
      </w:r>
      <w:proofErr w:type="spellEnd"/>
      <w:r w:rsidR="0060213A" w:rsidRPr="000E21BC">
        <w:rPr>
          <w:rFonts w:cs="Verdana"/>
          <w:szCs w:val="18"/>
          <w:lang w:val="en-US"/>
        </w:rPr>
        <w:t xml:space="preserve"> het </w:t>
      </w:r>
      <w:proofErr w:type="spellStart"/>
      <w:r w:rsidR="0060213A" w:rsidRPr="000E21BC">
        <w:rPr>
          <w:rFonts w:cs="Verdana"/>
          <w:szCs w:val="18"/>
          <w:lang w:val="en-US"/>
        </w:rPr>
        <w:t>implementeren</w:t>
      </w:r>
      <w:proofErr w:type="spellEnd"/>
      <w:r w:rsidR="0060213A" w:rsidRPr="000E21BC">
        <w:rPr>
          <w:rFonts w:cs="Verdana"/>
          <w:szCs w:val="18"/>
          <w:lang w:val="en-US"/>
        </w:rPr>
        <w:t xml:space="preserve"> van de “Bangkok Rules”: </w:t>
      </w:r>
      <w:r w:rsidR="00CB063E" w:rsidRPr="003D2C37">
        <w:rPr>
          <w:bCs/>
          <w:i/>
          <w:szCs w:val="18"/>
          <w:lang w:val="en-US"/>
        </w:rPr>
        <w:t>United Nations Rules for the Treatment of Women Prisoners and Non-custodial Measures for Women Offenders</w:t>
      </w:r>
      <w:r w:rsidR="0060213A" w:rsidRPr="000E21BC">
        <w:rPr>
          <w:bCs/>
          <w:szCs w:val="18"/>
          <w:lang w:val="en-US"/>
        </w:rPr>
        <w:t xml:space="preserve"> (2010).</w:t>
      </w:r>
    </w:p>
    <w:p w14:paraId="13C198E0" w14:textId="77777777" w:rsidR="00A6710B" w:rsidRPr="00114B8E" w:rsidRDefault="00A6710B" w:rsidP="00A6710B">
      <w:pPr>
        <w:rPr>
          <w:lang w:val="en-US"/>
        </w:rPr>
      </w:pPr>
    </w:p>
    <w:p w14:paraId="3928FB94" w14:textId="46B14B72" w:rsidR="0060213A" w:rsidRDefault="0060213A" w:rsidP="00A6710B">
      <w:r w:rsidRPr="00A6710B">
        <w:rPr>
          <w:u w:val="single"/>
        </w:rPr>
        <w:t>Klimaat</w:t>
      </w:r>
    </w:p>
    <w:p w14:paraId="6019D132" w14:textId="11D1574A" w:rsidR="0060213A" w:rsidRDefault="0060213A" w:rsidP="000E21BC">
      <w:pPr>
        <w:autoSpaceDE w:val="0"/>
        <w:autoSpaceDN w:val="0"/>
        <w:adjustRightInd w:val="0"/>
        <w:spacing w:line="240" w:lineRule="auto"/>
        <w:rPr>
          <w:rFonts w:cs="Verdana"/>
          <w:szCs w:val="18"/>
        </w:rPr>
      </w:pPr>
      <w:r w:rsidRPr="00A6710B">
        <w:rPr>
          <w:rFonts w:cs="Verdana"/>
          <w:i/>
          <w:szCs w:val="18"/>
        </w:rPr>
        <w:t>Beperkt relevant</w:t>
      </w:r>
      <w:r w:rsidRPr="00913FFB">
        <w:rPr>
          <w:rFonts w:cs="Verdana"/>
          <w:szCs w:val="18"/>
        </w:rPr>
        <w:t>. UNODC zich richt op de bestrijding van milieucriminaliteit</w:t>
      </w:r>
      <w:r w:rsidR="00EF510E">
        <w:rPr>
          <w:rFonts w:cs="Verdana"/>
          <w:szCs w:val="18"/>
        </w:rPr>
        <w:t xml:space="preserve"> </w:t>
      </w:r>
      <w:r w:rsidRPr="00913FFB">
        <w:rPr>
          <w:rFonts w:cs="Verdana"/>
          <w:szCs w:val="18"/>
        </w:rPr>
        <w:t>(illegale houtkap, handel in bedreigde diersoorten, dumpen gevaarlijke stoffen in arme landen, etc.)</w:t>
      </w:r>
      <w:r>
        <w:rPr>
          <w:rFonts w:cs="Verdana"/>
          <w:szCs w:val="18"/>
        </w:rPr>
        <w:t xml:space="preserve"> en dan met name het versterken van nationale wetgeving, de capaciteit van het handhavings- en </w:t>
      </w:r>
      <w:r w:rsidR="00943926">
        <w:rPr>
          <w:rFonts w:cs="Verdana"/>
          <w:szCs w:val="18"/>
        </w:rPr>
        <w:t>justitiële</w:t>
      </w:r>
      <w:r>
        <w:rPr>
          <w:rFonts w:cs="Verdana"/>
          <w:szCs w:val="18"/>
        </w:rPr>
        <w:t xml:space="preserve"> apparaat. </w:t>
      </w:r>
    </w:p>
    <w:p w14:paraId="335A83FE" w14:textId="77777777" w:rsidR="001C7B4B" w:rsidRPr="00D06E49" w:rsidRDefault="001C7B4B" w:rsidP="000E21BC">
      <w:pPr>
        <w:autoSpaceDE w:val="0"/>
        <w:autoSpaceDN w:val="0"/>
        <w:adjustRightInd w:val="0"/>
        <w:spacing w:line="240" w:lineRule="auto"/>
        <w:ind w:hanging="360"/>
        <w:rPr>
          <w:rFonts w:cs="Verdana"/>
          <w:szCs w:val="18"/>
        </w:rPr>
      </w:pPr>
    </w:p>
    <w:p w14:paraId="4A77AF85" w14:textId="77777777" w:rsidR="0060213A" w:rsidRDefault="0060213A" w:rsidP="006021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1904"/>
        <w:gridCol w:w="1930"/>
        <w:gridCol w:w="1896"/>
      </w:tblGrid>
      <w:tr w:rsidR="009A3ADF" w14:paraId="6EDFB81E" w14:textId="77777777" w:rsidTr="00A01CA0">
        <w:tc>
          <w:tcPr>
            <w:tcW w:w="771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4857E457" w14:textId="283A11E0" w:rsidR="009A3ADF" w:rsidRPr="009A3ADF" w:rsidRDefault="009A3ADF" w:rsidP="006879A0">
            <w:pPr>
              <w:rPr>
                <w:b/>
                <w:i/>
              </w:rPr>
            </w:pPr>
            <w:r>
              <w:rPr>
                <w:b/>
              </w:rPr>
              <w:t>Relevantie voor de Nederlandse BHOS-prioriteiten</w:t>
            </w:r>
          </w:p>
        </w:tc>
      </w:tr>
      <w:tr w:rsidR="0060213A" w14:paraId="3EE718A5" w14:textId="77777777" w:rsidTr="009A3ADF">
        <w:tc>
          <w:tcPr>
            <w:tcW w:w="1987" w:type="dxa"/>
            <w:tcBorders>
              <w:top w:val="single" w:sz="12" w:space="0" w:color="auto"/>
              <w:left w:val="single" w:sz="12" w:space="0" w:color="auto"/>
              <w:bottom w:val="single" w:sz="12" w:space="0" w:color="auto"/>
            </w:tcBorders>
            <w:shd w:val="clear" w:color="auto" w:fill="BFBFBF" w:themeFill="background1" w:themeFillShade="BF"/>
          </w:tcPr>
          <w:p w14:paraId="012F79D3" w14:textId="77777777" w:rsidR="0060213A" w:rsidRPr="00792AB2" w:rsidRDefault="0060213A" w:rsidP="006879A0">
            <w:pPr>
              <w:rPr>
                <w:b/>
                <w:i/>
              </w:rPr>
            </w:pPr>
          </w:p>
        </w:tc>
        <w:tc>
          <w:tcPr>
            <w:tcW w:w="1904" w:type="dxa"/>
            <w:tcBorders>
              <w:top w:val="single" w:sz="12" w:space="0" w:color="auto"/>
              <w:bottom w:val="single" w:sz="12" w:space="0" w:color="auto"/>
            </w:tcBorders>
            <w:shd w:val="clear" w:color="auto" w:fill="BFBFBF" w:themeFill="background1" w:themeFillShade="BF"/>
          </w:tcPr>
          <w:p w14:paraId="106D2AFB" w14:textId="77777777" w:rsidR="0060213A" w:rsidRPr="00792AB2" w:rsidRDefault="0060213A" w:rsidP="006879A0">
            <w:pPr>
              <w:rPr>
                <w:b/>
              </w:rPr>
            </w:pPr>
            <w:r w:rsidRPr="00792AB2">
              <w:rPr>
                <w:b/>
              </w:rPr>
              <w:t>Uitvoerend</w:t>
            </w:r>
          </w:p>
        </w:tc>
        <w:tc>
          <w:tcPr>
            <w:tcW w:w="1930" w:type="dxa"/>
            <w:tcBorders>
              <w:top w:val="single" w:sz="12" w:space="0" w:color="auto"/>
              <w:bottom w:val="single" w:sz="12" w:space="0" w:color="auto"/>
            </w:tcBorders>
            <w:shd w:val="clear" w:color="auto" w:fill="BFBFBF" w:themeFill="background1" w:themeFillShade="BF"/>
          </w:tcPr>
          <w:p w14:paraId="0972E100" w14:textId="77777777" w:rsidR="0060213A" w:rsidRPr="00792AB2" w:rsidRDefault="0060213A" w:rsidP="006879A0">
            <w:pPr>
              <w:rPr>
                <w:b/>
              </w:rPr>
            </w:pPr>
            <w:r w:rsidRPr="00792AB2">
              <w:rPr>
                <w:b/>
              </w:rPr>
              <w:t>Coördinerend</w:t>
            </w:r>
          </w:p>
        </w:tc>
        <w:tc>
          <w:tcPr>
            <w:tcW w:w="1896" w:type="dxa"/>
            <w:tcBorders>
              <w:top w:val="single" w:sz="12" w:space="0" w:color="auto"/>
              <w:bottom w:val="single" w:sz="12" w:space="0" w:color="auto"/>
              <w:right w:val="single" w:sz="12" w:space="0" w:color="auto"/>
            </w:tcBorders>
            <w:shd w:val="clear" w:color="auto" w:fill="BFBFBF" w:themeFill="background1" w:themeFillShade="BF"/>
          </w:tcPr>
          <w:p w14:paraId="3A0DFE9C" w14:textId="77777777" w:rsidR="0060213A" w:rsidRPr="00792AB2" w:rsidRDefault="0060213A" w:rsidP="006879A0">
            <w:pPr>
              <w:rPr>
                <w:b/>
              </w:rPr>
            </w:pPr>
            <w:r w:rsidRPr="00792AB2">
              <w:rPr>
                <w:b/>
              </w:rPr>
              <w:t>Normatief</w:t>
            </w:r>
          </w:p>
        </w:tc>
      </w:tr>
      <w:tr w:rsidR="0060213A" w14:paraId="1C347864" w14:textId="77777777" w:rsidTr="00750846">
        <w:tc>
          <w:tcPr>
            <w:tcW w:w="1987" w:type="dxa"/>
            <w:tcBorders>
              <w:top w:val="single" w:sz="12" w:space="0" w:color="auto"/>
              <w:left w:val="single" w:sz="12" w:space="0" w:color="auto"/>
            </w:tcBorders>
            <w:shd w:val="clear" w:color="auto" w:fill="auto"/>
          </w:tcPr>
          <w:p w14:paraId="0BEA2D01" w14:textId="77777777" w:rsidR="0060213A" w:rsidRDefault="0060213A" w:rsidP="006879A0">
            <w:r>
              <w:t>Veiligheid en rechtsorde</w:t>
            </w:r>
          </w:p>
        </w:tc>
        <w:tc>
          <w:tcPr>
            <w:tcW w:w="1904" w:type="dxa"/>
            <w:tcBorders>
              <w:top w:val="single" w:sz="12" w:space="0" w:color="auto"/>
            </w:tcBorders>
            <w:shd w:val="clear" w:color="auto" w:fill="auto"/>
          </w:tcPr>
          <w:p w14:paraId="7B774EA8" w14:textId="77777777" w:rsidR="0060213A" w:rsidRDefault="001C7B4B" w:rsidP="006879A0">
            <w:r>
              <w:t>4</w:t>
            </w:r>
          </w:p>
        </w:tc>
        <w:tc>
          <w:tcPr>
            <w:tcW w:w="1930" w:type="dxa"/>
            <w:tcBorders>
              <w:top w:val="single" w:sz="12" w:space="0" w:color="auto"/>
            </w:tcBorders>
            <w:shd w:val="clear" w:color="auto" w:fill="auto"/>
          </w:tcPr>
          <w:p w14:paraId="602B4B24" w14:textId="5070A81B" w:rsidR="0060213A" w:rsidRDefault="00413A3D" w:rsidP="006879A0">
            <w:r>
              <w:t>4</w:t>
            </w:r>
          </w:p>
        </w:tc>
        <w:tc>
          <w:tcPr>
            <w:tcW w:w="1896" w:type="dxa"/>
            <w:tcBorders>
              <w:top w:val="single" w:sz="12" w:space="0" w:color="auto"/>
              <w:right w:val="single" w:sz="12" w:space="0" w:color="auto"/>
            </w:tcBorders>
            <w:shd w:val="clear" w:color="auto" w:fill="auto"/>
          </w:tcPr>
          <w:p w14:paraId="7253C727" w14:textId="210D3099" w:rsidR="0060213A" w:rsidRDefault="00413A3D" w:rsidP="006879A0">
            <w:r>
              <w:t>4</w:t>
            </w:r>
          </w:p>
        </w:tc>
      </w:tr>
      <w:tr w:rsidR="0060213A" w14:paraId="789F5B2C" w14:textId="77777777" w:rsidTr="00750846">
        <w:tc>
          <w:tcPr>
            <w:tcW w:w="1987" w:type="dxa"/>
            <w:tcBorders>
              <w:left w:val="single" w:sz="12" w:space="0" w:color="auto"/>
            </w:tcBorders>
            <w:shd w:val="clear" w:color="auto" w:fill="auto"/>
          </w:tcPr>
          <w:p w14:paraId="5A795FE5" w14:textId="1434D5AB" w:rsidR="00750846" w:rsidRDefault="0060213A" w:rsidP="006879A0">
            <w:r>
              <w:t>SRGR</w:t>
            </w:r>
          </w:p>
        </w:tc>
        <w:tc>
          <w:tcPr>
            <w:tcW w:w="1904" w:type="dxa"/>
            <w:shd w:val="clear" w:color="auto" w:fill="auto"/>
          </w:tcPr>
          <w:p w14:paraId="013BCD10" w14:textId="120E13E8" w:rsidR="0060213A" w:rsidRDefault="00413A3D" w:rsidP="006879A0">
            <w:r>
              <w:t>4</w:t>
            </w:r>
          </w:p>
        </w:tc>
        <w:tc>
          <w:tcPr>
            <w:tcW w:w="1930" w:type="dxa"/>
            <w:shd w:val="clear" w:color="auto" w:fill="auto"/>
          </w:tcPr>
          <w:p w14:paraId="7CDC86F8" w14:textId="77777777" w:rsidR="0060213A" w:rsidRDefault="0060213A" w:rsidP="006879A0">
            <w:r>
              <w:t>3</w:t>
            </w:r>
          </w:p>
        </w:tc>
        <w:tc>
          <w:tcPr>
            <w:tcW w:w="1896" w:type="dxa"/>
            <w:tcBorders>
              <w:right w:val="single" w:sz="12" w:space="0" w:color="auto"/>
            </w:tcBorders>
            <w:shd w:val="clear" w:color="auto" w:fill="auto"/>
          </w:tcPr>
          <w:p w14:paraId="17B0A917" w14:textId="77777777" w:rsidR="0060213A" w:rsidRDefault="0060213A" w:rsidP="006879A0">
            <w:r>
              <w:t>3</w:t>
            </w:r>
          </w:p>
        </w:tc>
      </w:tr>
      <w:tr w:rsidR="0060213A" w14:paraId="00CEFCFD" w14:textId="77777777" w:rsidTr="00B20185">
        <w:tc>
          <w:tcPr>
            <w:tcW w:w="1987" w:type="dxa"/>
            <w:tcBorders>
              <w:left w:val="single" w:sz="12" w:space="0" w:color="auto"/>
              <w:bottom w:val="single" w:sz="12" w:space="0" w:color="auto"/>
            </w:tcBorders>
            <w:shd w:val="clear" w:color="auto" w:fill="auto"/>
          </w:tcPr>
          <w:p w14:paraId="074EB030" w14:textId="63C6D585" w:rsidR="00750846" w:rsidRDefault="0060213A" w:rsidP="006879A0">
            <w:r>
              <w:t>Gendergelijkheid</w:t>
            </w:r>
          </w:p>
        </w:tc>
        <w:tc>
          <w:tcPr>
            <w:tcW w:w="1904" w:type="dxa"/>
            <w:tcBorders>
              <w:bottom w:val="single" w:sz="12" w:space="0" w:color="auto"/>
            </w:tcBorders>
            <w:shd w:val="clear" w:color="auto" w:fill="auto"/>
          </w:tcPr>
          <w:p w14:paraId="79F6AFF1" w14:textId="2C23F6CA" w:rsidR="0060213A" w:rsidRDefault="00DD2BB3" w:rsidP="006879A0">
            <w:r>
              <w:t>3</w:t>
            </w:r>
          </w:p>
        </w:tc>
        <w:tc>
          <w:tcPr>
            <w:tcW w:w="1930" w:type="dxa"/>
            <w:tcBorders>
              <w:bottom w:val="single" w:sz="12" w:space="0" w:color="auto"/>
            </w:tcBorders>
            <w:shd w:val="clear" w:color="auto" w:fill="auto"/>
          </w:tcPr>
          <w:p w14:paraId="2540CFC3" w14:textId="77777777" w:rsidR="0060213A" w:rsidRDefault="0060213A" w:rsidP="006879A0">
            <w:r>
              <w:t>3</w:t>
            </w:r>
          </w:p>
        </w:tc>
        <w:tc>
          <w:tcPr>
            <w:tcW w:w="1896" w:type="dxa"/>
            <w:tcBorders>
              <w:bottom w:val="single" w:sz="12" w:space="0" w:color="auto"/>
              <w:right w:val="single" w:sz="12" w:space="0" w:color="auto"/>
            </w:tcBorders>
            <w:shd w:val="clear" w:color="auto" w:fill="auto"/>
          </w:tcPr>
          <w:p w14:paraId="022B68A2" w14:textId="77777777" w:rsidR="0060213A" w:rsidRDefault="0060213A" w:rsidP="006879A0">
            <w:r>
              <w:t>3</w:t>
            </w:r>
          </w:p>
        </w:tc>
      </w:tr>
    </w:tbl>
    <w:p w14:paraId="1017D950" w14:textId="77777777" w:rsidR="005A1763" w:rsidRDefault="005A1763" w:rsidP="0060213A">
      <w:pPr>
        <w:pStyle w:val="Heading2"/>
        <w:tabs>
          <w:tab w:val="left" w:pos="-1162"/>
          <w:tab w:val="left" w:pos="0"/>
          <w:tab w:val="num" w:pos="1160"/>
        </w:tabs>
        <w:spacing w:line="240" w:lineRule="auto"/>
        <w:ind w:hanging="1162"/>
      </w:pPr>
      <w:bookmarkStart w:id="71" w:name="_Toc410140912"/>
      <w:bookmarkStart w:id="72" w:name="_Toc479602617"/>
    </w:p>
    <w:p w14:paraId="1C7A1438" w14:textId="266BC957" w:rsidR="0060213A" w:rsidRDefault="00750846" w:rsidP="0060213A">
      <w:pPr>
        <w:pStyle w:val="Heading2"/>
        <w:tabs>
          <w:tab w:val="left" w:pos="-1162"/>
          <w:tab w:val="left" w:pos="0"/>
          <w:tab w:val="num" w:pos="1160"/>
        </w:tabs>
        <w:spacing w:line="240" w:lineRule="auto"/>
        <w:ind w:hanging="1162"/>
      </w:pPr>
      <w:bookmarkStart w:id="73" w:name="_Toc491442800"/>
      <w:r>
        <w:t>5</w:t>
      </w:r>
      <w:r w:rsidR="0060213A">
        <w:t>.2</w:t>
      </w:r>
      <w:r w:rsidR="0060213A">
        <w:tab/>
        <w:t>Overige relevantie</w:t>
      </w:r>
      <w:bookmarkEnd w:id="71"/>
      <w:bookmarkEnd w:id="72"/>
      <w:bookmarkEnd w:id="73"/>
      <w:r w:rsidR="0060213A">
        <w:t xml:space="preserve"> </w:t>
      </w:r>
    </w:p>
    <w:p w14:paraId="782FF678" w14:textId="65FFCB5A" w:rsidR="0060213A" w:rsidRDefault="0060213A" w:rsidP="0060213A">
      <w:r>
        <w:t>Kijkend naar al het werk dat UNODC doet is een overkoepelend thema: het veiliger maken van de wereld. De belangrijkste thema</w:t>
      </w:r>
      <w:r w:rsidR="00A57688">
        <w:t xml:space="preserve">’s </w:t>
      </w:r>
      <w:r w:rsidR="00A61D03">
        <w:t xml:space="preserve">voor </w:t>
      </w:r>
      <w:r w:rsidR="00A57688">
        <w:t xml:space="preserve">UNODC </w:t>
      </w:r>
      <w:r>
        <w:t xml:space="preserve">zijn drugs en criminaliteit. </w:t>
      </w:r>
      <w:r w:rsidR="00A61D03">
        <w:t>Er zijn veel soorten criminaliteit</w:t>
      </w:r>
      <w:r w:rsidR="004E03C1">
        <w:t>: terrorisme</w:t>
      </w:r>
      <w:r>
        <w:t xml:space="preserve">, tegengaan van corruptie, cybercriminaliteit, milieucriminaliteit, </w:t>
      </w:r>
      <w:proofErr w:type="spellStart"/>
      <w:r w:rsidR="00CB063E" w:rsidRPr="003D2C37">
        <w:rPr>
          <w:i/>
        </w:rPr>
        <w:t>wildlife</w:t>
      </w:r>
      <w:proofErr w:type="spellEnd"/>
      <w:r w:rsidR="00CB063E" w:rsidRPr="003D2C37">
        <w:rPr>
          <w:i/>
        </w:rPr>
        <w:t xml:space="preserve"> crime</w:t>
      </w:r>
      <w:r>
        <w:t xml:space="preserve">. Dit zijn niet altijd thema’s die vanuit een ontwikkelingssamenwerkingsperspectief bekeken worden, maar die wel vaak samengaan met de ontwikkeling van democratie en rechtsstaat in een land. UNODC werkt niet alleen samen met ontwikkelingsorganisaties, maar ook met bijvoorbeeld </w:t>
      </w:r>
      <w:r w:rsidR="006879A0">
        <w:t>I</w:t>
      </w:r>
      <w:r>
        <w:t>nterpol</w:t>
      </w:r>
      <w:r w:rsidR="00447D5E">
        <w:t xml:space="preserve"> en met gevangenissen</w:t>
      </w:r>
      <w:r>
        <w:t>. Door de juiste omstandigheden te scheppen in orde en rechtstaat hel</w:t>
      </w:r>
      <w:r w:rsidR="006879A0">
        <w:t>pt</w:t>
      </w:r>
      <w:r>
        <w:t xml:space="preserve"> UNODC mee aan een situatie waarin ontwikkelingsprocessen beter kunnen gedijen. </w:t>
      </w:r>
    </w:p>
    <w:p w14:paraId="646DB8BF" w14:textId="77777777" w:rsidR="0060213A" w:rsidRDefault="0060213A" w:rsidP="006021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5"/>
        <w:gridCol w:w="1701"/>
        <w:gridCol w:w="1843"/>
        <w:gridCol w:w="1867"/>
      </w:tblGrid>
      <w:tr w:rsidR="00440BB8" w14:paraId="7FF20952" w14:textId="77777777" w:rsidTr="00A01CA0">
        <w:tc>
          <w:tcPr>
            <w:tcW w:w="7806"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23CCB96B" w14:textId="672D932B" w:rsidR="00440BB8" w:rsidRPr="00440BB8" w:rsidRDefault="00440BB8" w:rsidP="0015548E">
            <w:pPr>
              <w:rPr>
                <w:i/>
              </w:rPr>
            </w:pPr>
            <w:r>
              <w:rPr>
                <w:b/>
              </w:rPr>
              <w:t>Overige relevantie</w:t>
            </w:r>
          </w:p>
        </w:tc>
      </w:tr>
      <w:tr w:rsidR="003D2C37" w14:paraId="5A5C0733" w14:textId="77777777" w:rsidTr="00440BB8">
        <w:tc>
          <w:tcPr>
            <w:tcW w:w="2395" w:type="dxa"/>
            <w:tcBorders>
              <w:top w:val="single" w:sz="12" w:space="0" w:color="auto"/>
              <w:left w:val="single" w:sz="12" w:space="0" w:color="auto"/>
              <w:bottom w:val="single" w:sz="12" w:space="0" w:color="auto"/>
            </w:tcBorders>
            <w:shd w:val="clear" w:color="auto" w:fill="BFBFBF" w:themeFill="background1" w:themeFillShade="BF"/>
          </w:tcPr>
          <w:p w14:paraId="0B560EDA" w14:textId="6348C133" w:rsidR="003D2C37" w:rsidRPr="00B06CE6" w:rsidRDefault="003D2C37" w:rsidP="0015548E">
            <w:pPr>
              <w:rPr>
                <w:i/>
              </w:rPr>
            </w:pPr>
          </w:p>
        </w:tc>
        <w:tc>
          <w:tcPr>
            <w:tcW w:w="1701" w:type="dxa"/>
            <w:tcBorders>
              <w:top w:val="single" w:sz="12" w:space="0" w:color="auto"/>
              <w:bottom w:val="single" w:sz="12" w:space="0" w:color="auto"/>
            </w:tcBorders>
            <w:shd w:val="clear" w:color="auto" w:fill="BFBFBF" w:themeFill="background1" w:themeFillShade="BF"/>
          </w:tcPr>
          <w:p w14:paraId="7F848228" w14:textId="77777777" w:rsidR="003D2C37" w:rsidRPr="00B06CE6" w:rsidRDefault="003D2C37" w:rsidP="0015548E">
            <w:pPr>
              <w:rPr>
                <w:b/>
              </w:rPr>
            </w:pPr>
            <w:r w:rsidRPr="00B06CE6">
              <w:rPr>
                <w:b/>
              </w:rPr>
              <w:t>Uitvoerend</w:t>
            </w:r>
          </w:p>
        </w:tc>
        <w:tc>
          <w:tcPr>
            <w:tcW w:w="1843" w:type="dxa"/>
            <w:tcBorders>
              <w:top w:val="single" w:sz="12" w:space="0" w:color="auto"/>
              <w:bottom w:val="single" w:sz="12" w:space="0" w:color="auto"/>
            </w:tcBorders>
            <w:shd w:val="clear" w:color="auto" w:fill="BFBFBF" w:themeFill="background1" w:themeFillShade="BF"/>
          </w:tcPr>
          <w:p w14:paraId="198224E1" w14:textId="77777777" w:rsidR="003D2C37" w:rsidRPr="00B06CE6" w:rsidRDefault="003D2C37" w:rsidP="0015548E">
            <w:pPr>
              <w:rPr>
                <w:b/>
              </w:rPr>
            </w:pPr>
            <w:r w:rsidRPr="00B06CE6">
              <w:rPr>
                <w:b/>
              </w:rPr>
              <w:t>Coördinerend</w:t>
            </w:r>
          </w:p>
        </w:tc>
        <w:tc>
          <w:tcPr>
            <w:tcW w:w="1867" w:type="dxa"/>
            <w:tcBorders>
              <w:top w:val="single" w:sz="12" w:space="0" w:color="auto"/>
              <w:bottom w:val="single" w:sz="12" w:space="0" w:color="auto"/>
              <w:right w:val="single" w:sz="12" w:space="0" w:color="auto"/>
            </w:tcBorders>
            <w:shd w:val="clear" w:color="auto" w:fill="BFBFBF" w:themeFill="background1" w:themeFillShade="BF"/>
          </w:tcPr>
          <w:p w14:paraId="30CD9864" w14:textId="77777777" w:rsidR="003D2C37" w:rsidRPr="00B06CE6" w:rsidRDefault="003D2C37" w:rsidP="0015548E">
            <w:pPr>
              <w:rPr>
                <w:b/>
              </w:rPr>
            </w:pPr>
            <w:r w:rsidRPr="00B06CE6">
              <w:rPr>
                <w:b/>
              </w:rPr>
              <w:t>Normatief</w:t>
            </w:r>
          </w:p>
        </w:tc>
      </w:tr>
      <w:tr w:rsidR="00B64502" w14:paraId="5E105883" w14:textId="77777777" w:rsidTr="00440BB8">
        <w:trPr>
          <w:trHeight w:val="772"/>
        </w:trPr>
        <w:tc>
          <w:tcPr>
            <w:tcW w:w="2395" w:type="dxa"/>
            <w:tcBorders>
              <w:top w:val="single" w:sz="12" w:space="0" w:color="auto"/>
              <w:left w:val="single" w:sz="12" w:space="0" w:color="auto"/>
              <w:bottom w:val="single" w:sz="12" w:space="0" w:color="auto"/>
            </w:tcBorders>
            <w:shd w:val="clear" w:color="auto" w:fill="auto"/>
          </w:tcPr>
          <w:p w14:paraId="178D0553" w14:textId="75EEEAF8" w:rsidR="00B64502" w:rsidRDefault="00440BB8" w:rsidP="00440BB8">
            <w:r>
              <w:t>Nederlands veiligheidsbeleid (drugs en criminaliteit)</w:t>
            </w:r>
          </w:p>
        </w:tc>
        <w:tc>
          <w:tcPr>
            <w:tcW w:w="1701" w:type="dxa"/>
            <w:tcBorders>
              <w:top w:val="single" w:sz="12" w:space="0" w:color="auto"/>
              <w:bottom w:val="single" w:sz="12" w:space="0" w:color="auto"/>
            </w:tcBorders>
            <w:shd w:val="clear" w:color="auto" w:fill="auto"/>
          </w:tcPr>
          <w:p w14:paraId="1811F3CE" w14:textId="77777777" w:rsidR="00B64502" w:rsidRDefault="00B64502" w:rsidP="0015548E"/>
        </w:tc>
        <w:tc>
          <w:tcPr>
            <w:tcW w:w="1843" w:type="dxa"/>
            <w:tcBorders>
              <w:top w:val="single" w:sz="12" w:space="0" w:color="auto"/>
              <w:bottom w:val="single" w:sz="12" w:space="0" w:color="auto"/>
            </w:tcBorders>
            <w:shd w:val="clear" w:color="auto" w:fill="auto"/>
          </w:tcPr>
          <w:p w14:paraId="03C2F796" w14:textId="07C883D1" w:rsidR="00B64502" w:rsidRDefault="00B64502" w:rsidP="0015548E">
            <w:r>
              <w:t>3</w:t>
            </w:r>
          </w:p>
        </w:tc>
        <w:tc>
          <w:tcPr>
            <w:tcW w:w="1867" w:type="dxa"/>
            <w:tcBorders>
              <w:top w:val="single" w:sz="12" w:space="0" w:color="auto"/>
              <w:bottom w:val="single" w:sz="12" w:space="0" w:color="auto"/>
              <w:right w:val="single" w:sz="12" w:space="0" w:color="auto"/>
            </w:tcBorders>
            <w:shd w:val="clear" w:color="auto" w:fill="auto"/>
          </w:tcPr>
          <w:p w14:paraId="69A0EF7C" w14:textId="77777777" w:rsidR="00B64502" w:rsidRDefault="00B64502" w:rsidP="0015548E"/>
        </w:tc>
      </w:tr>
    </w:tbl>
    <w:p w14:paraId="05F6C831" w14:textId="39B81D52" w:rsidR="00AF20A5" w:rsidRDefault="00AF20A5" w:rsidP="00750846"/>
    <w:sectPr w:rsidR="00AF20A5" w:rsidSect="00FF3D58">
      <w:endnotePr>
        <w:numFmt w:val="decimal"/>
      </w:endnotePr>
      <w:type w:val="continuous"/>
      <w:pgSz w:w="11906" w:h="16838" w:code="9"/>
      <w:pgMar w:top="2518" w:right="849" w:bottom="1077" w:left="3221" w:header="199"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D2B528" w14:textId="77777777" w:rsidR="00044DC5" w:rsidRDefault="00044DC5">
      <w:r>
        <w:separator/>
      </w:r>
    </w:p>
    <w:p w14:paraId="2C7C8418" w14:textId="77777777" w:rsidR="00044DC5" w:rsidRDefault="00044DC5"/>
    <w:p w14:paraId="3FE447EA" w14:textId="77777777" w:rsidR="00044DC5" w:rsidRDefault="00044DC5"/>
  </w:endnote>
  <w:endnote w:type="continuationSeparator" w:id="0">
    <w:p w14:paraId="411278DF" w14:textId="77777777" w:rsidR="00044DC5" w:rsidRDefault="00044DC5">
      <w:r>
        <w:continuationSeparator/>
      </w:r>
    </w:p>
    <w:p w14:paraId="7CB3D175" w14:textId="77777777" w:rsidR="00044DC5" w:rsidRDefault="00044DC5"/>
    <w:p w14:paraId="19777C87" w14:textId="77777777" w:rsidR="00044DC5" w:rsidRDefault="00044DC5"/>
  </w:endnote>
  <w:endnote w:type="continuationNotice" w:id="1">
    <w:p w14:paraId="149EFCC8" w14:textId="77777777" w:rsidR="00044DC5" w:rsidRDefault="00044D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Emoji">
    <w:panose1 w:val="020B0502040204020203"/>
    <w:charset w:val="00"/>
    <w:family w:val="swiss"/>
    <w:pitch w:val="variable"/>
    <w:sig w:usb0="00000003" w:usb1="02000000" w:usb2="00000000" w:usb3="00000000" w:csb0="00000001" w:csb1="00000000"/>
  </w:font>
  <w:font w:name="Verdana,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652" w:type="dxa"/>
      <w:tblLayout w:type="fixed"/>
      <w:tblCellMar>
        <w:left w:w="0" w:type="dxa"/>
        <w:right w:w="0" w:type="dxa"/>
      </w:tblCellMar>
      <w:tblLook w:val="0000" w:firstRow="0" w:lastRow="0" w:firstColumn="0" w:lastColumn="0" w:noHBand="0" w:noVBand="0"/>
    </w:tblPr>
    <w:tblGrid>
      <w:gridCol w:w="6179"/>
      <w:gridCol w:w="1374"/>
      <w:gridCol w:w="99"/>
    </w:tblGrid>
    <w:tr w:rsidR="00044DC5" w:rsidRPr="00785F18" w14:paraId="57669CD4" w14:textId="77777777" w:rsidTr="003B518B">
      <w:trPr>
        <w:trHeight w:hRule="exact" w:val="240"/>
      </w:trPr>
      <w:tc>
        <w:tcPr>
          <w:tcW w:w="7752" w:type="dxa"/>
          <w:gridSpan w:val="3"/>
          <w:shd w:val="clear" w:color="auto" w:fill="auto"/>
        </w:tcPr>
        <w:p w14:paraId="01B4F45C" w14:textId="77777777" w:rsidR="00044DC5" w:rsidRPr="00785F18" w:rsidRDefault="00044DC5">
          <w:pPr>
            <w:spacing w:line="240" w:lineRule="auto"/>
          </w:pPr>
        </w:p>
      </w:tc>
    </w:tr>
    <w:tr w:rsidR="00044DC5" w:rsidRPr="00785F18" w14:paraId="7E41C4C6" w14:textId="77777777" w:rsidTr="003B518B">
      <w:trPr>
        <w:gridAfter w:val="1"/>
        <w:wAfter w:w="99" w:type="dxa"/>
        <w:trHeight w:hRule="exact" w:val="240"/>
      </w:trPr>
      <w:tc>
        <w:tcPr>
          <w:tcW w:w="6260" w:type="dxa"/>
          <w:shd w:val="clear" w:color="auto" w:fill="auto"/>
        </w:tcPr>
        <w:p w14:paraId="72236B75" w14:textId="585402E6" w:rsidR="00044DC5" w:rsidRPr="00785F18" w:rsidRDefault="005A1763" w:rsidP="003B518B">
          <w:pPr>
            <w:pStyle w:val="Huisstijl-Paginanummering"/>
            <w:rPr>
              <w:rStyle w:val="Huisstijl-Rubricering"/>
            </w:rPr>
          </w:pPr>
          <w:fldSimple w:instr=" DOCPROPERTY  L_PAGE  \* MERGEFORMAT ">
            <w:r w:rsidR="00044DC5">
              <w:t>Pagina</w:t>
            </w:r>
          </w:fldSimple>
          <w:r w:rsidR="00044DC5" w:rsidRPr="00785F18">
            <w:t xml:space="preserve"> </w:t>
          </w:r>
          <w:r w:rsidR="00044DC5">
            <w:fldChar w:fldCharType="begin"/>
          </w:r>
          <w:r w:rsidR="00044DC5">
            <w:instrText xml:space="preserve"> PAGE   \* MERGEFORMAT </w:instrText>
          </w:r>
          <w:r w:rsidR="00044DC5">
            <w:fldChar w:fldCharType="separate"/>
          </w:r>
          <w:r w:rsidR="00044DC5">
            <w:t>24</w:t>
          </w:r>
          <w:r w:rsidR="00044DC5">
            <w:fldChar w:fldCharType="end"/>
          </w:r>
          <w:r w:rsidR="00044DC5" w:rsidRPr="00785F18">
            <w:t xml:space="preserve"> </w:t>
          </w:r>
          <w:fldSimple w:instr=" DOCPROPERTY  L_PAGEOF  \* MERGEFORMAT ">
            <w:r w:rsidR="00044DC5">
              <w:t>van</w:t>
            </w:r>
          </w:fldSimple>
          <w:r w:rsidR="00044DC5" w:rsidRPr="00785F18">
            <w:t xml:space="preserve"> </w:t>
          </w:r>
          <w:fldSimple w:instr=" NUMPAGES   \* MERGEFORMAT ">
            <w:r w:rsidR="00044DC5">
              <w:t>24</w:t>
            </w:r>
          </w:fldSimple>
        </w:p>
      </w:tc>
      <w:tc>
        <w:tcPr>
          <w:tcW w:w="1392" w:type="dxa"/>
        </w:tcPr>
        <w:p w14:paraId="3A9AD7C8" w14:textId="77777777" w:rsidR="00044DC5" w:rsidRPr="00785F18" w:rsidRDefault="00044DC5" w:rsidP="003B518B">
          <w:pPr>
            <w:pStyle w:val="Huisstijl-Paginanummering"/>
            <w:jc w:val="right"/>
          </w:pPr>
        </w:p>
      </w:tc>
    </w:tr>
  </w:tbl>
  <w:p w14:paraId="37A35AA4" w14:textId="77777777" w:rsidR="00044DC5" w:rsidRPr="00785F18" w:rsidRDefault="00044DC5" w:rsidP="003B518B">
    <w:pPr>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152" w:type="dxa"/>
      <w:tblLayout w:type="fixed"/>
      <w:tblCellMar>
        <w:left w:w="0" w:type="dxa"/>
        <w:right w:w="0" w:type="dxa"/>
      </w:tblCellMar>
      <w:tblLook w:val="0000" w:firstRow="0" w:lastRow="0" w:firstColumn="0" w:lastColumn="0" w:noHBand="0" w:noVBand="0"/>
    </w:tblPr>
    <w:tblGrid>
      <w:gridCol w:w="6669"/>
      <w:gridCol w:w="1483"/>
    </w:tblGrid>
    <w:tr w:rsidR="00044DC5" w:rsidRPr="00C849EE" w14:paraId="4AE101D8" w14:textId="77777777" w:rsidTr="000425F7">
      <w:trPr>
        <w:trHeight w:hRule="exact" w:val="634"/>
      </w:trPr>
      <w:tc>
        <w:tcPr>
          <w:tcW w:w="6669" w:type="dxa"/>
          <w:shd w:val="clear" w:color="auto" w:fill="auto"/>
        </w:tcPr>
        <w:p w14:paraId="55EAA408" w14:textId="77777777" w:rsidR="00044DC5" w:rsidRPr="00785F18" w:rsidRDefault="00044DC5" w:rsidP="003B518B">
          <w:pPr>
            <w:rPr>
              <w:rStyle w:val="Huisstijl-Rubricering"/>
            </w:rPr>
          </w:pPr>
        </w:p>
      </w:tc>
      <w:tc>
        <w:tcPr>
          <w:tcW w:w="1483" w:type="dxa"/>
        </w:tcPr>
        <w:p w14:paraId="03631D9B" w14:textId="7F2862C0" w:rsidR="00044DC5" w:rsidRPr="00C849EE" w:rsidRDefault="005A1763" w:rsidP="000425F7">
          <w:pPr>
            <w:pStyle w:val="Huisstijl-Paginanummering"/>
            <w:rPr>
              <w:sz w:val="16"/>
              <w:szCs w:val="16"/>
            </w:rPr>
          </w:pPr>
          <w:r w:rsidRPr="00C849EE">
            <w:rPr>
              <w:sz w:val="16"/>
              <w:szCs w:val="16"/>
            </w:rPr>
            <w:fldChar w:fldCharType="begin"/>
          </w:r>
          <w:r w:rsidRPr="00C849EE">
            <w:rPr>
              <w:sz w:val="16"/>
              <w:szCs w:val="16"/>
            </w:rPr>
            <w:instrText xml:space="preserve"> DOCPROPERTY  L_PAGE  \* MERGEFORMAT </w:instrText>
          </w:r>
          <w:r w:rsidRPr="00C849EE">
            <w:rPr>
              <w:sz w:val="16"/>
              <w:szCs w:val="16"/>
            </w:rPr>
            <w:fldChar w:fldCharType="separate"/>
          </w:r>
          <w:r w:rsidR="00044DC5" w:rsidRPr="00C849EE">
            <w:rPr>
              <w:sz w:val="16"/>
              <w:szCs w:val="16"/>
            </w:rPr>
            <w:t>Pagina</w:t>
          </w:r>
          <w:r w:rsidRPr="00C849EE">
            <w:rPr>
              <w:sz w:val="16"/>
              <w:szCs w:val="16"/>
            </w:rPr>
            <w:fldChar w:fldCharType="end"/>
          </w:r>
          <w:r w:rsidR="00044DC5" w:rsidRPr="00C849EE">
            <w:rPr>
              <w:sz w:val="16"/>
              <w:szCs w:val="16"/>
            </w:rPr>
            <w:t xml:space="preserve"> </w:t>
          </w:r>
          <w:r w:rsidR="00044DC5" w:rsidRPr="00C849EE">
            <w:rPr>
              <w:rStyle w:val="PageNumber"/>
              <w:noProof w:val="0"/>
              <w:sz w:val="16"/>
              <w:szCs w:val="16"/>
            </w:rPr>
            <w:fldChar w:fldCharType="begin"/>
          </w:r>
          <w:r w:rsidR="00044DC5" w:rsidRPr="00C849EE">
            <w:rPr>
              <w:rStyle w:val="PageNumber"/>
              <w:noProof w:val="0"/>
              <w:sz w:val="16"/>
              <w:szCs w:val="16"/>
            </w:rPr>
            <w:instrText xml:space="preserve"> PAGE </w:instrText>
          </w:r>
          <w:r w:rsidR="00044DC5" w:rsidRPr="00C849EE">
            <w:rPr>
              <w:rStyle w:val="PageNumber"/>
              <w:noProof w:val="0"/>
              <w:sz w:val="16"/>
              <w:szCs w:val="16"/>
            </w:rPr>
            <w:fldChar w:fldCharType="separate"/>
          </w:r>
          <w:r w:rsidR="000425F7">
            <w:rPr>
              <w:rStyle w:val="PageNumber"/>
              <w:sz w:val="16"/>
              <w:szCs w:val="16"/>
            </w:rPr>
            <w:t>21</w:t>
          </w:r>
          <w:r w:rsidR="00044DC5" w:rsidRPr="00C849EE">
            <w:rPr>
              <w:rStyle w:val="PageNumber"/>
              <w:noProof w:val="0"/>
              <w:sz w:val="16"/>
              <w:szCs w:val="16"/>
            </w:rPr>
            <w:fldChar w:fldCharType="end"/>
          </w:r>
          <w:r w:rsidR="00044DC5" w:rsidRPr="00C849EE">
            <w:rPr>
              <w:sz w:val="16"/>
              <w:szCs w:val="16"/>
            </w:rPr>
            <w:t xml:space="preserve"> </w:t>
          </w:r>
          <w:r w:rsidRPr="00C849EE">
            <w:rPr>
              <w:sz w:val="16"/>
              <w:szCs w:val="16"/>
            </w:rPr>
            <w:fldChar w:fldCharType="begin"/>
          </w:r>
          <w:r w:rsidRPr="00C849EE">
            <w:rPr>
              <w:sz w:val="16"/>
              <w:szCs w:val="16"/>
            </w:rPr>
            <w:instrText xml:space="preserve"> DOCPROPERTY  L_PAGEOF  \* MERGEFORMAT </w:instrText>
          </w:r>
          <w:r w:rsidRPr="00C849EE">
            <w:rPr>
              <w:sz w:val="16"/>
              <w:szCs w:val="16"/>
            </w:rPr>
            <w:fldChar w:fldCharType="separate"/>
          </w:r>
          <w:r w:rsidR="00044DC5" w:rsidRPr="00C849EE">
            <w:rPr>
              <w:sz w:val="16"/>
              <w:szCs w:val="16"/>
            </w:rPr>
            <w:t>van</w:t>
          </w:r>
          <w:r w:rsidRPr="00C849EE">
            <w:rPr>
              <w:sz w:val="16"/>
              <w:szCs w:val="16"/>
            </w:rPr>
            <w:fldChar w:fldCharType="end"/>
          </w:r>
          <w:r w:rsidR="00044DC5" w:rsidRPr="00C849EE">
            <w:rPr>
              <w:sz w:val="16"/>
              <w:szCs w:val="16"/>
            </w:rPr>
            <w:t xml:space="preserve"> </w:t>
          </w:r>
          <w:r w:rsidRPr="00C849EE">
            <w:rPr>
              <w:sz w:val="16"/>
              <w:szCs w:val="16"/>
            </w:rPr>
            <w:fldChar w:fldCharType="begin"/>
          </w:r>
          <w:r w:rsidRPr="00C849EE">
            <w:rPr>
              <w:sz w:val="16"/>
              <w:szCs w:val="16"/>
            </w:rPr>
            <w:instrText xml:space="preserve"> NUMPAGES   \* MERGEFORMAT </w:instrText>
          </w:r>
          <w:r w:rsidRPr="00C849EE">
            <w:rPr>
              <w:sz w:val="16"/>
              <w:szCs w:val="16"/>
            </w:rPr>
            <w:fldChar w:fldCharType="separate"/>
          </w:r>
          <w:r w:rsidR="000425F7">
            <w:rPr>
              <w:sz w:val="16"/>
              <w:szCs w:val="16"/>
            </w:rPr>
            <w:t>22</w:t>
          </w:r>
          <w:r w:rsidRPr="00C849EE">
            <w:rPr>
              <w:sz w:val="16"/>
              <w:szCs w:val="16"/>
            </w:rPr>
            <w:fldChar w:fldCharType="end"/>
          </w:r>
        </w:p>
      </w:tc>
    </w:tr>
  </w:tbl>
  <w:p w14:paraId="29D56A3A" w14:textId="77777777" w:rsidR="00044DC5" w:rsidRPr="00785F18" w:rsidRDefault="00044DC5" w:rsidP="003B518B">
    <w:pPr>
      <w:spacing w:line="240" w:lineRule="auto"/>
      <w:rPr>
        <w:sz w:val="2"/>
        <w:szCs w:val="2"/>
      </w:rPr>
    </w:pPr>
  </w:p>
  <w:p w14:paraId="6D5AF5F3" w14:textId="77777777" w:rsidR="00044DC5" w:rsidRPr="00785F18" w:rsidRDefault="00044DC5" w:rsidP="003B518B">
    <w:pPr>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6260"/>
    </w:tblGrid>
    <w:tr w:rsidR="00C849EE" w:rsidRPr="00785F18" w14:paraId="727234C2" w14:textId="77777777" w:rsidTr="00B06D4B">
      <w:trPr>
        <w:trHeight w:hRule="exact" w:val="240"/>
      </w:trPr>
      <w:tc>
        <w:tcPr>
          <w:tcW w:w="6260" w:type="dxa"/>
          <w:shd w:val="clear" w:color="auto" w:fill="auto"/>
        </w:tcPr>
        <w:p w14:paraId="60D6B98D" w14:textId="77777777" w:rsidR="00C849EE" w:rsidRPr="00785F18" w:rsidRDefault="00C849EE" w:rsidP="00B06D4B">
          <w:pPr>
            <w:rPr>
              <w:rStyle w:val="Huisstijl-Rubricering"/>
            </w:rPr>
          </w:pPr>
        </w:p>
      </w:tc>
    </w:tr>
  </w:tbl>
  <w:p w14:paraId="5B630FC3" w14:textId="77777777" w:rsidR="00044DC5" w:rsidRPr="00785F18" w:rsidRDefault="00044DC5" w:rsidP="00101F98">
    <w:pPr>
      <w:spacing w:line="240" w:lineRule="auto"/>
      <w:rPr>
        <w:sz w:val="2"/>
        <w:szCs w:val="2"/>
      </w:rPr>
    </w:pPr>
  </w:p>
  <w:p w14:paraId="08C86B84" w14:textId="77777777" w:rsidR="00044DC5" w:rsidRPr="00785F18" w:rsidRDefault="00044DC5" w:rsidP="0039744C">
    <w:pP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F055C3" w14:textId="77777777" w:rsidR="00044DC5" w:rsidRPr="00B35331" w:rsidRDefault="00044DC5" w:rsidP="00B35331">
      <w:pPr>
        <w:pStyle w:val="Footer"/>
      </w:pPr>
    </w:p>
  </w:footnote>
  <w:footnote w:type="continuationSeparator" w:id="0">
    <w:p w14:paraId="7B6C5669" w14:textId="77777777" w:rsidR="00044DC5" w:rsidRDefault="00044DC5">
      <w:r>
        <w:continuationSeparator/>
      </w:r>
    </w:p>
    <w:p w14:paraId="063C0058" w14:textId="77777777" w:rsidR="00044DC5" w:rsidRDefault="00044DC5"/>
    <w:p w14:paraId="46E5EFBC" w14:textId="77777777" w:rsidR="00044DC5" w:rsidRDefault="00044DC5"/>
  </w:footnote>
  <w:footnote w:type="continuationNotice" w:id="1">
    <w:p w14:paraId="4A692173" w14:textId="77777777" w:rsidR="00044DC5" w:rsidRDefault="00044DC5">
      <w:pPr>
        <w:spacing w:line="240" w:lineRule="auto"/>
      </w:pPr>
    </w:p>
  </w:footnote>
  <w:footnote w:id="2">
    <w:p w14:paraId="024377FB" w14:textId="10E2D4D2" w:rsidR="00044DC5" w:rsidRPr="00750846" w:rsidRDefault="00044DC5" w:rsidP="00750846">
      <w:pPr>
        <w:pStyle w:val="FootnoteText"/>
      </w:pPr>
      <w:r>
        <w:rPr>
          <w:rStyle w:val="FootnoteReference"/>
        </w:rPr>
        <w:footnoteRef/>
      </w:r>
      <w:r>
        <w:t xml:space="preserve"> </w:t>
      </w:r>
      <w:r w:rsidRPr="00750846">
        <w:t xml:space="preserve">Onder </w:t>
      </w:r>
      <w:proofErr w:type="spellStart"/>
      <w:r w:rsidRPr="00A01CA0">
        <w:rPr>
          <w:i/>
        </w:rPr>
        <w:t>core</w:t>
      </w:r>
      <w:proofErr w:type="spellEnd"/>
      <w:r w:rsidRPr="00750846">
        <w:t xml:space="preserve"> bijdrage wordt verstaan: de verplichte en vrijwillige, </w:t>
      </w:r>
      <w:proofErr w:type="spellStart"/>
      <w:r w:rsidRPr="00750846">
        <w:t>ongeoormerkte</w:t>
      </w:r>
      <w:proofErr w:type="spellEnd"/>
      <w:r w:rsidRPr="00750846">
        <w:t xml:space="preserve"> bijdrage aan de organisatie.</w:t>
      </w:r>
    </w:p>
  </w:footnote>
  <w:footnote w:id="3">
    <w:p w14:paraId="66C721F4" w14:textId="431D95EC" w:rsidR="00044DC5" w:rsidRPr="00092EC6" w:rsidRDefault="00044DC5" w:rsidP="005150FC">
      <w:pPr>
        <w:pStyle w:val="FootnoteText"/>
        <w:rPr>
          <w:lang w:val="en-US"/>
        </w:rPr>
      </w:pPr>
      <w:r>
        <w:rPr>
          <w:rStyle w:val="FootnoteReference"/>
        </w:rPr>
        <w:footnoteRef/>
      </w:r>
      <w:r>
        <w:t xml:space="preserve"> </w:t>
      </w:r>
      <w:r>
        <w:tab/>
        <w:t xml:space="preserve">Binnen MOPAN evalueert Nederland samen met 18 gelijkgezinde landen het functioneren van </w:t>
      </w:r>
      <w:r w:rsidR="003C11CF">
        <w:t>VN-organisaties</w:t>
      </w:r>
      <w:r>
        <w:t xml:space="preserve"> en Internationale Financiële Instellingen. Vanaf 2015 worden, per keer, in een tweejaarlijkse cyclus, ongeveer 13 organisaties doorgelicht op organisatorisch functioneren en ontwikkelingseffectiviteit. </w:t>
      </w:r>
      <w:proofErr w:type="spellStart"/>
      <w:r w:rsidRPr="00092EC6">
        <w:rPr>
          <w:lang w:val="en-US"/>
        </w:rPr>
        <w:t>Echter</w:t>
      </w:r>
      <w:proofErr w:type="spellEnd"/>
      <w:r w:rsidRPr="00092EC6">
        <w:rPr>
          <w:lang w:val="en-US"/>
        </w:rPr>
        <w:t xml:space="preserve"> </w:t>
      </w:r>
      <w:proofErr w:type="spellStart"/>
      <w:r w:rsidRPr="00092EC6">
        <w:rPr>
          <w:lang w:val="en-US"/>
        </w:rPr>
        <w:t>niet</w:t>
      </w:r>
      <w:proofErr w:type="spellEnd"/>
      <w:r w:rsidRPr="00092EC6">
        <w:rPr>
          <w:lang w:val="en-US"/>
        </w:rPr>
        <w:t xml:space="preserve"> de UNODC.</w:t>
      </w:r>
    </w:p>
  </w:footnote>
  <w:footnote w:id="4">
    <w:p w14:paraId="39C9972B" w14:textId="54D87E10" w:rsidR="00044DC5" w:rsidRPr="00A6710B" w:rsidRDefault="00044DC5">
      <w:pPr>
        <w:pStyle w:val="FootnoteText"/>
        <w:rPr>
          <w:lang w:val="en-US"/>
        </w:rPr>
      </w:pPr>
      <w:r>
        <w:rPr>
          <w:rStyle w:val="FootnoteReference"/>
        </w:rPr>
        <w:footnoteRef/>
      </w:r>
      <w:r>
        <w:t xml:space="preserve"> </w:t>
      </w:r>
      <w:proofErr w:type="spellStart"/>
      <w:r>
        <w:rPr>
          <w:lang w:val="en-US"/>
        </w:rPr>
        <w:t>Geen</w:t>
      </w:r>
      <w:proofErr w:type="spellEnd"/>
      <w:r>
        <w:rPr>
          <w:lang w:val="en-US"/>
        </w:rPr>
        <w:t xml:space="preserve"> </w:t>
      </w:r>
      <w:proofErr w:type="spellStart"/>
      <w:r>
        <w:rPr>
          <w:lang w:val="en-US"/>
        </w:rPr>
        <w:t>Nederlandse</w:t>
      </w:r>
      <w:proofErr w:type="spellEnd"/>
      <w:r>
        <w:rPr>
          <w:lang w:val="en-US"/>
        </w:rPr>
        <w:t xml:space="preserve"> </w:t>
      </w:r>
      <w:proofErr w:type="spellStart"/>
      <w:r>
        <w:rPr>
          <w:lang w:val="en-US"/>
        </w:rPr>
        <w:t>bijdrage</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B1A23" w14:textId="77777777" w:rsidR="00044DC5" w:rsidRPr="00785F18" w:rsidRDefault="00044DC5">
    <w:pPr>
      <w:pStyle w:val="Header"/>
    </w:pPr>
  </w:p>
  <w:p w14:paraId="6C7EF657" w14:textId="77777777" w:rsidR="00044DC5" w:rsidRPr="00785F18" w:rsidRDefault="00044DC5"/>
  <w:p w14:paraId="5EC432CE" w14:textId="77777777" w:rsidR="00044DC5" w:rsidRPr="00785F18" w:rsidRDefault="00044DC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4137B" w14:textId="77777777" w:rsidR="00044DC5" w:rsidRPr="00785F18" w:rsidRDefault="00044DC5" w:rsidP="000C0FB6">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044DC5" w:rsidRPr="00C849EE" w14:paraId="77593D1D" w14:textId="77777777" w:rsidTr="002E14E1">
      <w:trPr>
        <w:trHeight w:val="400"/>
      </w:trPr>
      <w:tc>
        <w:tcPr>
          <w:tcW w:w="7520" w:type="dxa"/>
          <w:shd w:val="clear" w:color="auto" w:fill="auto"/>
        </w:tcPr>
        <w:p w14:paraId="771BF573" w14:textId="67ADD2ED" w:rsidR="00044DC5" w:rsidRPr="008517DE" w:rsidRDefault="00044DC5" w:rsidP="00C849EE">
          <w:pPr>
            <w:adjustRightInd w:val="0"/>
            <w:spacing w:line="180" w:lineRule="exact"/>
            <w:rPr>
              <w:sz w:val="13"/>
              <w:lang w:val="en-GB"/>
            </w:rPr>
          </w:pPr>
          <w:r>
            <w:rPr>
              <w:rStyle w:val="Huisstijl-Koptekst"/>
            </w:rPr>
            <w:fldChar w:fldCharType="begin"/>
          </w:r>
          <w:r w:rsidRPr="00C849EE">
            <w:rPr>
              <w:rStyle w:val="Huisstijl-Koptekst"/>
              <w:lang w:val="en-US"/>
            </w:rPr>
            <w:instrText xml:space="preserve"> Titel </w:instrText>
          </w:r>
          <w:r>
            <w:rPr>
              <w:rStyle w:val="Huisstijl-Koptekst"/>
            </w:rPr>
            <w:fldChar w:fldCharType="separate"/>
          </w:r>
          <w:r w:rsidRPr="000537C6">
            <w:rPr>
              <w:lang w:val="en-US"/>
            </w:rPr>
            <w:t>Scorecard</w:t>
          </w:r>
          <w:r>
            <w:rPr>
              <w:rStyle w:val="Huisstijl-Koptekst"/>
            </w:rPr>
            <w:fldChar w:fldCharType="end"/>
          </w:r>
          <w:r w:rsidRPr="008517DE">
            <w:rPr>
              <w:rStyle w:val="Huisstijl-Koptekst"/>
              <w:lang w:val="en-GB"/>
            </w:rPr>
            <w:t xml:space="preserve"> | </w:t>
          </w:r>
          <w:r w:rsidR="00C849EE" w:rsidRPr="00C849EE">
            <w:rPr>
              <w:rStyle w:val="Huisstijl-Koptekst"/>
              <w:lang w:val="en-GB"/>
            </w:rPr>
            <w:t>United Nations Office on Drugs and Crime</w:t>
          </w:r>
        </w:p>
      </w:tc>
    </w:tr>
  </w:tbl>
  <w:p w14:paraId="4C84C8BB" w14:textId="77777777" w:rsidR="00044DC5" w:rsidRPr="008517DE" w:rsidRDefault="00044DC5" w:rsidP="000D7BB7">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1D8E8" w14:textId="12D1AB77" w:rsidR="00044DC5" w:rsidRPr="00785F18" w:rsidRDefault="00044DC5" w:rsidP="006E263E">
    <w:r>
      <w:rPr>
        <w:noProof/>
      </w:rPr>
      <mc:AlternateContent>
        <mc:Choice Requires="wps">
          <w:drawing>
            <wp:anchor distT="0" distB="0" distL="114300" distR="114300" simplePos="0" relativeHeight="251658240" behindDoc="0" locked="0" layoutInCell="1" allowOverlap="1" wp14:anchorId="27226896" wp14:editId="153AFB91">
              <wp:simplePos x="0" y="0"/>
              <wp:positionH relativeFrom="column">
                <wp:posOffset>1386840</wp:posOffset>
              </wp:positionH>
              <wp:positionV relativeFrom="page">
                <wp:posOffset>-86995</wp:posOffset>
              </wp:positionV>
              <wp:extent cx="4025900" cy="1746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044DC5" w14:paraId="4B6EBB5B" w14:textId="77777777">
                            <w:trPr>
                              <w:trHeight w:val="2636"/>
                            </w:trPr>
                            <w:tc>
                              <w:tcPr>
                                <w:tcW w:w="737" w:type="dxa"/>
                                <w:shd w:val="clear" w:color="auto" w:fill="auto"/>
                              </w:tcPr>
                              <w:p w14:paraId="297C78FC" w14:textId="77777777" w:rsidR="00044DC5" w:rsidRDefault="00044DC5" w:rsidP="006E263E">
                                <w:pPr>
                                  <w:spacing w:line="240" w:lineRule="auto"/>
                                </w:pPr>
                                <w:bookmarkStart w:id="4" w:name="bm_BZlogo"/>
                                <w:bookmarkEnd w:id="4"/>
                                <w:r>
                                  <w:rPr>
                                    <w:noProof/>
                                  </w:rPr>
                                  <w:drawing>
                                    <wp:inline distT="0" distB="0" distL="0" distR="0" wp14:anchorId="273CA2CC" wp14:editId="07777777">
                                      <wp:extent cx="467995" cy="1584960"/>
                                      <wp:effectExtent l="0" t="0" r="8255" b="0"/>
                                      <wp:docPr id="3"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995" cy="1584960"/>
                                              </a:xfrm>
                                              <a:prstGeom prst="rect">
                                                <a:avLst/>
                                              </a:prstGeom>
                                              <a:noFill/>
                                              <a:ln>
                                                <a:noFill/>
                                              </a:ln>
                                            </pic:spPr>
                                          </pic:pic>
                                        </a:graphicData>
                                      </a:graphic>
                                    </wp:inline>
                                  </w:drawing>
                                </w:r>
                              </w:p>
                            </w:tc>
                            <w:tc>
                              <w:tcPr>
                                <w:tcW w:w="5383" w:type="dxa"/>
                                <w:shd w:val="clear" w:color="auto" w:fill="auto"/>
                              </w:tcPr>
                              <w:p w14:paraId="7F537D58" w14:textId="77777777" w:rsidR="00044DC5" w:rsidRDefault="00044DC5" w:rsidP="006E263E">
                                <w:pPr>
                                  <w:spacing w:line="240" w:lineRule="auto"/>
                                </w:pPr>
                                <w:r>
                                  <w:rPr>
                                    <w:noProof/>
                                  </w:rPr>
                                  <w:drawing>
                                    <wp:inline distT="0" distB="0" distL="0" distR="0" wp14:anchorId="7176FC26" wp14:editId="07777777">
                                      <wp:extent cx="2443480" cy="1652905"/>
                                      <wp:effectExtent l="0" t="0" r="0" b="4445"/>
                                      <wp:docPr id="2" name="Picture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3480" cy="1652905"/>
                                              </a:xfrm>
                                              <a:prstGeom prst="rect">
                                                <a:avLst/>
                                              </a:prstGeom>
                                              <a:noFill/>
                                              <a:ln>
                                                <a:noFill/>
                                              </a:ln>
                                            </pic:spPr>
                                          </pic:pic>
                                        </a:graphicData>
                                      </a:graphic>
                                    </wp:inline>
                                  </w:drawing>
                                </w:r>
                              </w:p>
                            </w:tc>
                          </w:tr>
                        </w:tbl>
                        <w:p w14:paraId="00D88DD1" w14:textId="77777777" w:rsidR="00044DC5" w:rsidRDefault="00044DC5" w:rsidP="006E26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226896" id="_x0000_t202" coordsize="21600,21600" o:spt="202" path="m,l,21600r21600,l21600,xe">
              <v:stroke joinstyle="miter"/>
              <v:path gradientshapeok="t" o:connecttype="rect"/>
            </v:shapetype>
            <v:shape id="Text Box 1" o:spid="_x0000_s1026" type="#_x0000_t202" style="position:absolute;margin-left:109.2pt;margin-top:-6.85pt;width:317pt;height: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044DC5" w14:paraId="4B6EBB5B" w14:textId="77777777">
                      <w:trPr>
                        <w:trHeight w:val="2636"/>
                      </w:trPr>
                      <w:tc>
                        <w:tcPr>
                          <w:tcW w:w="737" w:type="dxa"/>
                          <w:shd w:val="clear" w:color="auto" w:fill="auto"/>
                        </w:tcPr>
                        <w:p w14:paraId="297C78FC" w14:textId="77777777" w:rsidR="00044DC5" w:rsidRDefault="00044DC5" w:rsidP="006E263E">
                          <w:pPr>
                            <w:spacing w:line="240" w:lineRule="auto"/>
                          </w:pPr>
                          <w:bookmarkStart w:id="5" w:name="bm_BZlogo"/>
                          <w:bookmarkEnd w:id="5"/>
                          <w:r>
                            <w:rPr>
                              <w:noProof/>
                            </w:rPr>
                            <w:drawing>
                              <wp:inline distT="0" distB="0" distL="0" distR="0" wp14:anchorId="273CA2CC" wp14:editId="07777777">
                                <wp:extent cx="467995" cy="1584960"/>
                                <wp:effectExtent l="0" t="0" r="8255" b="0"/>
                                <wp:docPr id="3"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995" cy="1584960"/>
                                        </a:xfrm>
                                        <a:prstGeom prst="rect">
                                          <a:avLst/>
                                        </a:prstGeom>
                                        <a:noFill/>
                                        <a:ln>
                                          <a:noFill/>
                                        </a:ln>
                                      </pic:spPr>
                                    </pic:pic>
                                  </a:graphicData>
                                </a:graphic>
                              </wp:inline>
                            </w:drawing>
                          </w:r>
                        </w:p>
                      </w:tc>
                      <w:tc>
                        <w:tcPr>
                          <w:tcW w:w="5383" w:type="dxa"/>
                          <w:shd w:val="clear" w:color="auto" w:fill="auto"/>
                        </w:tcPr>
                        <w:p w14:paraId="7F537D58" w14:textId="77777777" w:rsidR="00044DC5" w:rsidRDefault="00044DC5" w:rsidP="006E263E">
                          <w:pPr>
                            <w:spacing w:line="240" w:lineRule="auto"/>
                          </w:pPr>
                          <w:r>
                            <w:rPr>
                              <w:noProof/>
                            </w:rPr>
                            <w:drawing>
                              <wp:inline distT="0" distB="0" distL="0" distR="0" wp14:anchorId="7176FC26" wp14:editId="07777777">
                                <wp:extent cx="2443480" cy="1652905"/>
                                <wp:effectExtent l="0" t="0" r="0" b="4445"/>
                                <wp:docPr id="2" name="Picture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3480" cy="1652905"/>
                                        </a:xfrm>
                                        <a:prstGeom prst="rect">
                                          <a:avLst/>
                                        </a:prstGeom>
                                        <a:noFill/>
                                        <a:ln>
                                          <a:noFill/>
                                        </a:ln>
                                      </pic:spPr>
                                    </pic:pic>
                                  </a:graphicData>
                                </a:graphic>
                              </wp:inline>
                            </w:drawing>
                          </w:r>
                        </w:p>
                      </w:tc>
                    </w:tr>
                  </w:tbl>
                  <w:p w14:paraId="00D88DD1" w14:textId="77777777" w:rsidR="00044DC5" w:rsidRDefault="00044DC5" w:rsidP="006E263E"/>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044DC5" w:rsidRPr="00785F18" w14:paraId="52335510" w14:textId="77777777" w:rsidTr="000A01F6">
      <w:trPr>
        <w:cantSplit/>
        <w:trHeight w:hRule="exact" w:val="3340"/>
      </w:trPr>
      <w:tc>
        <w:tcPr>
          <w:tcW w:w="5640" w:type="dxa"/>
          <w:shd w:val="clear" w:color="auto" w:fill="auto"/>
        </w:tcPr>
        <w:p w14:paraId="1E83182E" w14:textId="77777777" w:rsidR="00044DC5" w:rsidRPr="00785F18" w:rsidRDefault="00044DC5" w:rsidP="00094B45">
          <w:pPr>
            <w:ind w:left="240" w:hanging="240"/>
          </w:pPr>
        </w:p>
      </w:tc>
    </w:tr>
    <w:tr w:rsidR="00044DC5" w:rsidRPr="00C849EE" w14:paraId="687DE1A5" w14:textId="77777777" w:rsidTr="007B0280">
      <w:trPr>
        <w:cantSplit/>
        <w:trHeight w:hRule="exact" w:val="1440"/>
      </w:trPr>
      <w:tc>
        <w:tcPr>
          <w:tcW w:w="5640" w:type="dxa"/>
          <w:shd w:val="clear" w:color="auto" w:fill="auto"/>
        </w:tcPr>
        <w:p w14:paraId="251FB72F" w14:textId="77777777" w:rsidR="00044DC5" w:rsidRPr="00785F18" w:rsidRDefault="00044DC5" w:rsidP="000C0FB6">
          <w:pPr>
            <w:rPr>
              <w:rStyle w:val="Huisstijl-Rubricering"/>
              <w:smallCaps w:val="0"/>
            </w:rPr>
          </w:pPr>
        </w:p>
        <w:p w14:paraId="40EF0BA6" w14:textId="77777777" w:rsidR="00044DC5" w:rsidRPr="00785F18" w:rsidRDefault="00044DC5" w:rsidP="000C0FB6">
          <w:pPr>
            <w:spacing w:line="180" w:lineRule="atLeast"/>
            <w:rPr>
              <w:rStyle w:val="Huisstijl-Rubricering"/>
              <w:smallCaps w:val="0"/>
            </w:rPr>
          </w:pPr>
        </w:p>
        <w:p w14:paraId="2E0E30C8" w14:textId="5AA326F2" w:rsidR="00044DC5" w:rsidRPr="000537C6" w:rsidRDefault="00044DC5" w:rsidP="00B36546">
          <w:pPr>
            <w:pStyle w:val="Title"/>
            <w:rPr>
              <w:lang w:val="en-US"/>
            </w:rPr>
          </w:pPr>
          <w:bookmarkStart w:id="6" w:name="titel"/>
          <w:r w:rsidRPr="000537C6">
            <w:rPr>
              <w:lang w:val="en-US"/>
            </w:rPr>
            <w:t>Scorecard</w:t>
          </w:r>
          <w:bookmarkEnd w:id="6"/>
          <w:r w:rsidRPr="000537C6">
            <w:rPr>
              <w:lang w:val="en-US"/>
            </w:rPr>
            <w:t xml:space="preserve">  </w:t>
          </w:r>
          <w:bookmarkStart w:id="7" w:name="subtitel"/>
          <w:r w:rsidRPr="000537C6">
            <w:rPr>
              <w:lang w:val="en-US"/>
            </w:rPr>
            <w:t xml:space="preserve"> </w:t>
          </w:r>
          <w:bookmarkEnd w:id="7"/>
          <w:r w:rsidRPr="000537C6">
            <w:rPr>
              <w:rStyle w:val="SubtitleChar"/>
              <w:lang w:val="en-US"/>
            </w:rPr>
            <w:t>United Nations Office on Drugs and Crime</w:t>
          </w:r>
        </w:p>
        <w:p w14:paraId="78ABD507" w14:textId="77777777" w:rsidR="00044DC5" w:rsidRPr="00B36546" w:rsidRDefault="00044DC5" w:rsidP="00B36546">
          <w:pPr>
            <w:rPr>
              <w:lang w:val="en-GB"/>
            </w:rPr>
          </w:pPr>
        </w:p>
        <w:p w14:paraId="3F106232" w14:textId="77777777" w:rsidR="00044DC5" w:rsidRPr="00B36546" w:rsidRDefault="00044DC5" w:rsidP="00B36546">
          <w:pPr>
            <w:tabs>
              <w:tab w:val="left" w:pos="3281"/>
            </w:tabs>
            <w:rPr>
              <w:lang w:val="en-GB"/>
            </w:rPr>
          </w:pPr>
          <w:r w:rsidRPr="00B36546">
            <w:rPr>
              <w:lang w:val="en-GB"/>
            </w:rPr>
            <w:tab/>
          </w:r>
        </w:p>
      </w:tc>
    </w:tr>
    <w:tr w:rsidR="00044DC5" w:rsidRPr="00C849EE" w14:paraId="2BC290B9" w14:textId="77777777" w:rsidTr="000A01F6">
      <w:trPr>
        <w:cantSplit/>
        <w:trHeight w:hRule="exact" w:val="240"/>
      </w:trPr>
      <w:tc>
        <w:tcPr>
          <w:tcW w:w="5640" w:type="dxa"/>
          <w:shd w:val="clear" w:color="auto" w:fill="auto"/>
        </w:tcPr>
        <w:p w14:paraId="4057EF6A" w14:textId="77777777" w:rsidR="00044DC5" w:rsidRPr="00B36546" w:rsidRDefault="00044DC5" w:rsidP="00B60860">
          <w:pPr>
            <w:rPr>
              <w:lang w:val="en-GB"/>
            </w:rPr>
          </w:pPr>
        </w:p>
      </w:tc>
    </w:tr>
    <w:tr w:rsidR="00044DC5" w:rsidRPr="00C849EE" w14:paraId="114BA58F" w14:textId="77777777" w:rsidTr="000A01F6">
      <w:trPr>
        <w:cantSplit/>
        <w:trHeight w:hRule="exact" w:val="480"/>
      </w:trPr>
      <w:tc>
        <w:tcPr>
          <w:tcW w:w="5640" w:type="dxa"/>
          <w:shd w:val="clear" w:color="auto" w:fill="auto"/>
        </w:tcPr>
        <w:p w14:paraId="16D1DC6A" w14:textId="77777777" w:rsidR="00044DC5" w:rsidRPr="00B36546" w:rsidRDefault="00044DC5" w:rsidP="00EF0ED5">
          <w:pPr>
            <w:rPr>
              <w:lang w:val="en-GB"/>
            </w:rPr>
          </w:pPr>
        </w:p>
      </w:tc>
    </w:tr>
  </w:tbl>
  <w:p w14:paraId="797BD8C8" w14:textId="20882C78" w:rsidR="00044DC5" w:rsidRPr="00B36546" w:rsidRDefault="00044DC5">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 xml:space="preserve">15 </w:t>
    </w:r>
    <w:proofErr w:type="spellStart"/>
    <w:r>
      <w:rPr>
        <w:lang w:val="en-GB"/>
      </w:rPr>
      <w:t>augustus</w:t>
    </w:r>
    <w:proofErr w:type="spellEnd"/>
    <w:r>
      <w:rPr>
        <w:lang w:val="en-GB"/>
      </w:rPr>
      <w:t xml:space="preserve"> 2017</w:t>
    </w:r>
  </w:p>
  <w:p w14:paraId="26E2DCAE" w14:textId="77777777" w:rsidR="00044DC5" w:rsidRPr="00B36546" w:rsidRDefault="00044DC5">
    <w:pPr>
      <w:rPr>
        <w:lang w:val="en-GB"/>
      </w:rPr>
    </w:pPr>
  </w:p>
  <w:p w14:paraId="5C20ACD2" w14:textId="77777777" w:rsidR="00044DC5" w:rsidRPr="00785F18" w:rsidRDefault="00044DC5" w:rsidP="0006027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11E3E" w14:textId="77777777" w:rsidR="00044DC5" w:rsidRPr="00785F18" w:rsidRDefault="00044DC5" w:rsidP="00E51959">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044DC5" w:rsidRPr="008517DE" w14:paraId="5F3E2C26" w14:textId="77777777" w:rsidTr="00B06D4B">
      <w:trPr>
        <w:trHeight w:val="400"/>
      </w:trPr>
      <w:tc>
        <w:tcPr>
          <w:tcW w:w="7520" w:type="dxa"/>
          <w:shd w:val="clear" w:color="auto" w:fill="auto"/>
        </w:tcPr>
        <w:p w14:paraId="345FBC9C" w14:textId="2A0003E7" w:rsidR="00044DC5" w:rsidRPr="008517DE" w:rsidRDefault="005A1763" w:rsidP="00B06D4B">
          <w:pPr>
            <w:adjustRightInd w:val="0"/>
            <w:spacing w:line="180" w:lineRule="exact"/>
            <w:rPr>
              <w:sz w:val="13"/>
              <w:lang w:val="en-GB"/>
            </w:rPr>
          </w:pPr>
          <w:fldSimple w:instr=" REF  titel  \* MERGEFORMAT ">
            <w:r w:rsidR="00044DC5" w:rsidRPr="00F87433">
              <w:rPr>
                <w:rStyle w:val="Huisstijl-Koptekst"/>
                <w:sz w:val="18"/>
                <w:szCs w:val="18"/>
                <w:lang w:val="en-GB"/>
              </w:rPr>
              <w:t>Scorecard</w:t>
            </w:r>
          </w:fldSimple>
          <w:r w:rsidR="00044DC5" w:rsidRPr="007B163C">
            <w:rPr>
              <w:rStyle w:val="Huisstijl-Koptekst"/>
              <w:lang w:val="en-GB"/>
            </w:rPr>
            <w:t xml:space="preserve"> | </w:t>
          </w:r>
          <w:proofErr w:type="spellStart"/>
          <w:r w:rsidR="00044DC5">
            <w:rPr>
              <w:rStyle w:val="Huisstijl-Koptekst"/>
              <w:lang w:val="en-GB"/>
            </w:rPr>
            <w:t>Organisatie</w:t>
          </w:r>
          <w:proofErr w:type="spellEnd"/>
          <w:r w:rsidR="00044DC5" w:rsidRPr="008517DE">
            <w:rPr>
              <w:sz w:val="13"/>
              <w:lang w:val="en-GB"/>
            </w:rPr>
            <w:t xml:space="preserve"> </w:t>
          </w:r>
        </w:p>
      </w:tc>
    </w:tr>
  </w:tbl>
  <w:p w14:paraId="6AC24F90" w14:textId="77777777" w:rsidR="00044DC5" w:rsidRPr="008517DE" w:rsidRDefault="00044DC5" w:rsidP="00E51959">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E521D6A"/>
    <w:lvl w:ilvl="0">
      <w:start w:val="1"/>
      <w:numFmt w:val="decimal"/>
      <w:pStyle w:val="ListNumber2"/>
      <w:lvlText w:val="%1"/>
      <w:lvlJc w:val="left"/>
      <w:pPr>
        <w:tabs>
          <w:tab w:val="num" w:pos="738"/>
        </w:tabs>
        <w:ind w:left="738" w:hanging="227"/>
      </w:pPr>
      <w:rPr>
        <w:rFonts w:hint="default"/>
        <w:color w:val="auto"/>
      </w:rPr>
    </w:lvl>
  </w:abstractNum>
  <w:abstractNum w:abstractNumId="1" w15:restartNumberingAfterBreak="0">
    <w:nsid w:val="03BB5F57"/>
    <w:multiLevelType w:val="multilevel"/>
    <w:tmpl w:val="5AEEDE88"/>
    <w:numStyleLink w:val="StyleBulleted"/>
  </w:abstractNum>
  <w:abstractNum w:abstractNumId="2" w15:restartNumberingAfterBreak="0">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3" w15:restartNumberingAfterBreak="0">
    <w:nsid w:val="0A1B58B4"/>
    <w:multiLevelType w:val="hybridMultilevel"/>
    <w:tmpl w:val="995268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10B51873"/>
    <w:multiLevelType w:val="hybridMultilevel"/>
    <w:tmpl w:val="75B881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6" w15:restartNumberingAfterBreak="0">
    <w:nsid w:val="13100EB3"/>
    <w:multiLevelType w:val="hybridMultilevel"/>
    <w:tmpl w:val="D514DFA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623655D"/>
    <w:multiLevelType w:val="multilevel"/>
    <w:tmpl w:val="5AEEDE88"/>
    <w:numStyleLink w:val="StyleBulleted"/>
  </w:abstractNum>
  <w:abstractNum w:abstractNumId="8" w15:restartNumberingAfterBreak="0">
    <w:nsid w:val="177758AC"/>
    <w:multiLevelType w:val="hybridMultilevel"/>
    <w:tmpl w:val="10F4AC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A5A20BC"/>
    <w:multiLevelType w:val="multilevel"/>
    <w:tmpl w:val="5AEEDE88"/>
    <w:numStyleLink w:val="StyleBulleted"/>
  </w:abstractNum>
  <w:abstractNum w:abstractNumId="10" w15:restartNumberingAfterBreak="0">
    <w:nsid w:val="1E2809B5"/>
    <w:multiLevelType w:val="hybridMultilevel"/>
    <w:tmpl w:val="2B5816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1E793868"/>
    <w:multiLevelType w:val="hybridMultilevel"/>
    <w:tmpl w:val="B320437C"/>
    <w:lvl w:ilvl="0" w:tplc="04130001">
      <w:start w:val="1"/>
      <w:numFmt w:val="bullet"/>
      <w:lvlText w:val=""/>
      <w:lvlJc w:val="left"/>
      <w:pPr>
        <w:ind w:left="133" w:hanging="360"/>
      </w:pPr>
      <w:rPr>
        <w:rFonts w:ascii="Symbol" w:hAnsi="Symbol" w:hint="default"/>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12" w15:restartNumberingAfterBreak="0">
    <w:nsid w:val="1F803251"/>
    <w:multiLevelType w:val="hybridMultilevel"/>
    <w:tmpl w:val="00308E16"/>
    <w:lvl w:ilvl="0" w:tplc="7CB8302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D553E9"/>
    <w:multiLevelType w:val="hybridMultilevel"/>
    <w:tmpl w:val="7CAA11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28E5206"/>
    <w:multiLevelType w:val="hybridMultilevel"/>
    <w:tmpl w:val="0CE4D9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2F82FF2"/>
    <w:multiLevelType w:val="multilevel"/>
    <w:tmpl w:val="5AEEDE88"/>
    <w:numStyleLink w:val="StyleBulleted"/>
  </w:abstractNum>
  <w:abstractNum w:abstractNumId="16" w15:restartNumberingAfterBreak="0">
    <w:nsid w:val="25614042"/>
    <w:multiLevelType w:val="hybridMultilevel"/>
    <w:tmpl w:val="8976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72E4A80"/>
    <w:multiLevelType w:val="hybridMultilevel"/>
    <w:tmpl w:val="C316A3A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2D461BEC"/>
    <w:multiLevelType w:val="hybridMultilevel"/>
    <w:tmpl w:val="4A32F3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0" w15:restartNumberingAfterBreak="0">
    <w:nsid w:val="372126F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1" w15:restartNumberingAfterBreak="0">
    <w:nsid w:val="38752550"/>
    <w:multiLevelType w:val="hybridMultilevel"/>
    <w:tmpl w:val="9C80422A"/>
    <w:lvl w:ilvl="0" w:tplc="17B82BD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9F36539"/>
    <w:multiLevelType w:val="hybridMultilevel"/>
    <w:tmpl w:val="2F681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4" w15:restartNumberingAfterBreak="0">
    <w:nsid w:val="408335F4"/>
    <w:multiLevelType w:val="multilevel"/>
    <w:tmpl w:val="5AEEDE88"/>
    <w:numStyleLink w:val="StyleBulleted"/>
  </w:abstractNum>
  <w:abstractNum w:abstractNumId="25" w15:restartNumberingAfterBreak="0">
    <w:nsid w:val="4C6D2E8B"/>
    <w:multiLevelType w:val="multilevel"/>
    <w:tmpl w:val="723E1294"/>
    <w:lvl w:ilvl="0">
      <w:start w:val="4"/>
      <w:numFmt w:val="decimal"/>
      <w:lvlText w:val="%1"/>
      <w:lvlJc w:val="left"/>
      <w:pPr>
        <w:ind w:left="360" w:hanging="360"/>
      </w:pPr>
      <w:rPr>
        <w:rFonts w:hint="default"/>
      </w:rPr>
    </w:lvl>
    <w:lvl w:ilvl="1">
      <w:start w:val="2"/>
      <w:numFmt w:val="decimal"/>
      <w:lvlText w:val="%1.%2"/>
      <w:lvlJc w:val="left"/>
      <w:pPr>
        <w:ind w:left="-442" w:hanging="72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26" w15:restartNumberingAfterBreak="0">
    <w:nsid w:val="4E153E44"/>
    <w:multiLevelType w:val="hybridMultilevel"/>
    <w:tmpl w:val="0A604B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E207249"/>
    <w:multiLevelType w:val="hybridMultilevel"/>
    <w:tmpl w:val="69405766"/>
    <w:lvl w:ilvl="0" w:tplc="8BF24382">
      <w:start w:val="3"/>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D750EE7"/>
    <w:multiLevelType w:val="multilevel"/>
    <w:tmpl w:val="5AEEDE88"/>
    <w:numStyleLink w:val="StyleBulleted"/>
  </w:abstractNum>
  <w:abstractNum w:abstractNumId="29" w15:restartNumberingAfterBreak="0">
    <w:nsid w:val="5F126FB5"/>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0" w15:restartNumberingAfterBreak="0">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31" w15:restartNumberingAfterBreak="0">
    <w:nsid w:val="6141483D"/>
    <w:multiLevelType w:val="hybridMultilevel"/>
    <w:tmpl w:val="A6B2AE1C"/>
    <w:lvl w:ilvl="0" w:tplc="793EC136">
      <w:start w:val="1"/>
      <w:numFmt w:val="decimal"/>
      <w:lvlText w:val="%1."/>
      <w:lvlJc w:val="left"/>
      <w:pPr>
        <w:ind w:left="587" w:hanging="360"/>
      </w:pPr>
      <w:rPr>
        <w:rFonts w:hint="default"/>
      </w:rPr>
    </w:lvl>
    <w:lvl w:ilvl="1" w:tplc="04130019" w:tentative="1">
      <w:start w:val="1"/>
      <w:numFmt w:val="lowerLetter"/>
      <w:lvlText w:val="%2."/>
      <w:lvlJc w:val="left"/>
      <w:pPr>
        <w:ind w:left="1307" w:hanging="360"/>
      </w:pPr>
    </w:lvl>
    <w:lvl w:ilvl="2" w:tplc="0413001B" w:tentative="1">
      <w:start w:val="1"/>
      <w:numFmt w:val="lowerRoman"/>
      <w:lvlText w:val="%3."/>
      <w:lvlJc w:val="right"/>
      <w:pPr>
        <w:ind w:left="2027" w:hanging="180"/>
      </w:pPr>
    </w:lvl>
    <w:lvl w:ilvl="3" w:tplc="0413000F" w:tentative="1">
      <w:start w:val="1"/>
      <w:numFmt w:val="decimal"/>
      <w:lvlText w:val="%4."/>
      <w:lvlJc w:val="left"/>
      <w:pPr>
        <w:ind w:left="2747" w:hanging="360"/>
      </w:pPr>
    </w:lvl>
    <w:lvl w:ilvl="4" w:tplc="04130019" w:tentative="1">
      <w:start w:val="1"/>
      <w:numFmt w:val="lowerLetter"/>
      <w:lvlText w:val="%5."/>
      <w:lvlJc w:val="left"/>
      <w:pPr>
        <w:ind w:left="3467" w:hanging="360"/>
      </w:pPr>
    </w:lvl>
    <w:lvl w:ilvl="5" w:tplc="0413001B" w:tentative="1">
      <w:start w:val="1"/>
      <w:numFmt w:val="lowerRoman"/>
      <w:lvlText w:val="%6."/>
      <w:lvlJc w:val="right"/>
      <w:pPr>
        <w:ind w:left="4187" w:hanging="180"/>
      </w:pPr>
    </w:lvl>
    <w:lvl w:ilvl="6" w:tplc="0413000F" w:tentative="1">
      <w:start w:val="1"/>
      <w:numFmt w:val="decimal"/>
      <w:lvlText w:val="%7."/>
      <w:lvlJc w:val="left"/>
      <w:pPr>
        <w:ind w:left="4907" w:hanging="360"/>
      </w:pPr>
    </w:lvl>
    <w:lvl w:ilvl="7" w:tplc="04130019" w:tentative="1">
      <w:start w:val="1"/>
      <w:numFmt w:val="lowerLetter"/>
      <w:lvlText w:val="%8."/>
      <w:lvlJc w:val="left"/>
      <w:pPr>
        <w:ind w:left="5627" w:hanging="360"/>
      </w:pPr>
    </w:lvl>
    <w:lvl w:ilvl="8" w:tplc="0413001B" w:tentative="1">
      <w:start w:val="1"/>
      <w:numFmt w:val="lowerRoman"/>
      <w:lvlText w:val="%9."/>
      <w:lvlJc w:val="right"/>
      <w:pPr>
        <w:ind w:left="6347" w:hanging="180"/>
      </w:pPr>
    </w:lvl>
  </w:abstractNum>
  <w:abstractNum w:abstractNumId="32" w15:restartNumberingAfterBreak="0">
    <w:nsid w:val="63404D5D"/>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3" w15:restartNumberingAfterBreak="0">
    <w:nsid w:val="63A20AAC"/>
    <w:multiLevelType w:val="multilevel"/>
    <w:tmpl w:val="5AEEDE88"/>
    <w:numStyleLink w:val="StyleBulleted"/>
  </w:abstractNum>
  <w:abstractNum w:abstractNumId="34" w15:restartNumberingAfterBreak="0">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35" w15:restartNumberingAfterBreak="0">
    <w:nsid w:val="687111A1"/>
    <w:multiLevelType w:val="hybridMultilevel"/>
    <w:tmpl w:val="9FE0D31E"/>
    <w:lvl w:ilvl="0" w:tplc="04130001">
      <w:start w:val="4"/>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7" w15:restartNumberingAfterBreak="0">
    <w:nsid w:val="6D193965"/>
    <w:multiLevelType w:val="multilevel"/>
    <w:tmpl w:val="5AEEDE88"/>
    <w:numStyleLink w:val="StyleBulleted"/>
  </w:abstractNum>
  <w:abstractNum w:abstractNumId="38" w15:restartNumberingAfterBreak="0">
    <w:nsid w:val="6EB60612"/>
    <w:multiLevelType w:val="hybridMultilevel"/>
    <w:tmpl w:val="3CB2DD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6F1B2CBC"/>
    <w:multiLevelType w:val="multilevel"/>
    <w:tmpl w:val="5AEEDE88"/>
    <w:numStyleLink w:val="StyleBulleted"/>
  </w:abstractNum>
  <w:abstractNum w:abstractNumId="40" w15:restartNumberingAfterBreak="0">
    <w:nsid w:val="71A63D8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41" w15:restartNumberingAfterBreak="0">
    <w:nsid w:val="77555624"/>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42" w15:restartNumberingAfterBreak="0">
    <w:nsid w:val="79686EFD"/>
    <w:multiLevelType w:val="hybridMultilevel"/>
    <w:tmpl w:val="59F21F6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3" w15:restartNumberingAfterBreak="0">
    <w:nsid w:val="7AE14C9B"/>
    <w:multiLevelType w:val="hybridMultilevel"/>
    <w:tmpl w:val="267A6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BA00343"/>
    <w:multiLevelType w:val="hybridMultilevel"/>
    <w:tmpl w:val="BBDA40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5" w15:restartNumberingAfterBreak="0">
    <w:nsid w:val="7C4B0DF0"/>
    <w:multiLevelType w:val="hybridMultilevel"/>
    <w:tmpl w:val="52BC88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0"/>
  </w:num>
  <w:num w:numId="2">
    <w:abstractNumId w:val="34"/>
  </w:num>
  <w:num w:numId="3">
    <w:abstractNumId w:val="23"/>
  </w:num>
  <w:num w:numId="4">
    <w:abstractNumId w:val="0"/>
  </w:num>
  <w:num w:numId="5">
    <w:abstractNumId w:val="36"/>
  </w:num>
  <w:num w:numId="6">
    <w:abstractNumId w:val="2"/>
  </w:num>
  <w:num w:numId="7">
    <w:abstractNumId w:val="12"/>
  </w:num>
  <w:num w:numId="8">
    <w:abstractNumId w:val="39"/>
  </w:num>
  <w:num w:numId="9">
    <w:abstractNumId w:val="33"/>
  </w:num>
  <w:num w:numId="10">
    <w:abstractNumId w:val="15"/>
  </w:num>
  <w:num w:numId="11">
    <w:abstractNumId w:val="7"/>
  </w:num>
  <w:num w:numId="12">
    <w:abstractNumId w:val="37"/>
  </w:num>
  <w:num w:numId="13">
    <w:abstractNumId w:val="20"/>
  </w:num>
  <w:num w:numId="14">
    <w:abstractNumId w:val="1"/>
  </w:num>
  <w:num w:numId="15">
    <w:abstractNumId w:val="9"/>
  </w:num>
  <w:num w:numId="16">
    <w:abstractNumId w:val="32"/>
  </w:num>
  <w:num w:numId="17">
    <w:abstractNumId w:val="24"/>
  </w:num>
  <w:num w:numId="18">
    <w:abstractNumId w:val="28"/>
  </w:num>
  <w:num w:numId="19">
    <w:abstractNumId w:val="19"/>
  </w:num>
  <w:num w:numId="20">
    <w:abstractNumId w:val="41"/>
  </w:num>
  <w:num w:numId="21">
    <w:abstractNumId w:val="5"/>
  </w:num>
  <w:num w:numId="22">
    <w:abstractNumId w:val="25"/>
  </w:num>
  <w:num w:numId="23">
    <w:abstractNumId w:val="43"/>
  </w:num>
  <w:num w:numId="24">
    <w:abstractNumId w:val="16"/>
  </w:num>
  <w:num w:numId="25">
    <w:abstractNumId w:val="16"/>
  </w:num>
  <w:num w:numId="26">
    <w:abstractNumId w:val="11"/>
  </w:num>
  <w:num w:numId="27">
    <w:abstractNumId w:val="10"/>
  </w:num>
  <w:num w:numId="28">
    <w:abstractNumId w:val="8"/>
  </w:num>
  <w:num w:numId="29">
    <w:abstractNumId w:val="6"/>
  </w:num>
  <w:num w:numId="30">
    <w:abstractNumId w:val="3"/>
  </w:num>
  <w:num w:numId="31">
    <w:abstractNumId w:val="22"/>
  </w:num>
  <w:num w:numId="32">
    <w:abstractNumId w:val="21"/>
  </w:num>
  <w:num w:numId="33">
    <w:abstractNumId w:val="17"/>
  </w:num>
  <w:num w:numId="34">
    <w:abstractNumId w:val="44"/>
  </w:num>
  <w:num w:numId="35">
    <w:abstractNumId w:val="4"/>
  </w:num>
  <w:num w:numId="36">
    <w:abstractNumId w:val="27"/>
  </w:num>
  <w:num w:numId="37">
    <w:abstractNumId w:val="40"/>
  </w:num>
  <w:num w:numId="38">
    <w:abstractNumId w:val="14"/>
  </w:num>
  <w:num w:numId="39">
    <w:abstractNumId w:val="26"/>
  </w:num>
  <w:num w:numId="40">
    <w:abstractNumId w:val="42"/>
  </w:num>
  <w:num w:numId="41">
    <w:abstractNumId w:val="31"/>
  </w:num>
  <w:num w:numId="42">
    <w:abstractNumId w:val="29"/>
  </w:num>
  <w:num w:numId="43">
    <w:abstractNumId w:val="38"/>
  </w:num>
  <w:num w:numId="44">
    <w:abstractNumId w:val="13"/>
  </w:num>
  <w:num w:numId="45">
    <w:abstractNumId w:val="32"/>
  </w:num>
  <w:num w:numId="46">
    <w:abstractNumId w:val="18"/>
  </w:num>
  <w:num w:numId="47">
    <w:abstractNumId w:val="45"/>
  </w:num>
  <w:num w:numId="48">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45057"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18"/>
    <w:rsid w:val="0000367D"/>
    <w:rsid w:val="0000392E"/>
    <w:rsid w:val="00003A32"/>
    <w:rsid w:val="00005884"/>
    <w:rsid w:val="00006E47"/>
    <w:rsid w:val="000108FB"/>
    <w:rsid w:val="0001095C"/>
    <w:rsid w:val="000114F8"/>
    <w:rsid w:val="00013196"/>
    <w:rsid w:val="000154BB"/>
    <w:rsid w:val="00016C57"/>
    <w:rsid w:val="00020189"/>
    <w:rsid w:val="00020352"/>
    <w:rsid w:val="00020EE4"/>
    <w:rsid w:val="000227EB"/>
    <w:rsid w:val="0002330E"/>
    <w:rsid w:val="000234D6"/>
    <w:rsid w:val="0002628D"/>
    <w:rsid w:val="00026447"/>
    <w:rsid w:val="0002695C"/>
    <w:rsid w:val="00026B67"/>
    <w:rsid w:val="000304C1"/>
    <w:rsid w:val="00031065"/>
    <w:rsid w:val="00031268"/>
    <w:rsid w:val="00032C0E"/>
    <w:rsid w:val="00033419"/>
    <w:rsid w:val="00033426"/>
    <w:rsid w:val="00033950"/>
    <w:rsid w:val="00033C56"/>
    <w:rsid w:val="00033E8D"/>
    <w:rsid w:val="00034A84"/>
    <w:rsid w:val="0003536F"/>
    <w:rsid w:val="00035E67"/>
    <w:rsid w:val="00036F65"/>
    <w:rsid w:val="00037250"/>
    <w:rsid w:val="0004192F"/>
    <w:rsid w:val="000422E7"/>
    <w:rsid w:val="000425F7"/>
    <w:rsid w:val="00043504"/>
    <w:rsid w:val="00043CC4"/>
    <w:rsid w:val="000447BD"/>
    <w:rsid w:val="00044809"/>
    <w:rsid w:val="00044DC5"/>
    <w:rsid w:val="00045A4F"/>
    <w:rsid w:val="00046866"/>
    <w:rsid w:val="00047318"/>
    <w:rsid w:val="00047A3F"/>
    <w:rsid w:val="00047B04"/>
    <w:rsid w:val="0005061F"/>
    <w:rsid w:val="00050ABD"/>
    <w:rsid w:val="00050B6A"/>
    <w:rsid w:val="00051416"/>
    <w:rsid w:val="000537C6"/>
    <w:rsid w:val="0005447F"/>
    <w:rsid w:val="000547A6"/>
    <w:rsid w:val="0005499D"/>
    <w:rsid w:val="000559DE"/>
    <w:rsid w:val="00057A50"/>
    <w:rsid w:val="00057B03"/>
    <w:rsid w:val="0006027D"/>
    <w:rsid w:val="000605A3"/>
    <w:rsid w:val="000652A5"/>
    <w:rsid w:val="00066605"/>
    <w:rsid w:val="00066F2B"/>
    <w:rsid w:val="0006700B"/>
    <w:rsid w:val="000705D1"/>
    <w:rsid w:val="000710E9"/>
    <w:rsid w:val="00071F28"/>
    <w:rsid w:val="00072371"/>
    <w:rsid w:val="00075820"/>
    <w:rsid w:val="00076FCC"/>
    <w:rsid w:val="00077900"/>
    <w:rsid w:val="00080AE8"/>
    <w:rsid w:val="00081825"/>
    <w:rsid w:val="00081DD4"/>
    <w:rsid w:val="0008255C"/>
    <w:rsid w:val="00082BB1"/>
    <w:rsid w:val="000842B5"/>
    <w:rsid w:val="000842F4"/>
    <w:rsid w:val="00085F22"/>
    <w:rsid w:val="0008640E"/>
    <w:rsid w:val="0008784B"/>
    <w:rsid w:val="00087FA0"/>
    <w:rsid w:val="000903DE"/>
    <w:rsid w:val="00090808"/>
    <w:rsid w:val="0009114D"/>
    <w:rsid w:val="000912C6"/>
    <w:rsid w:val="000924C1"/>
    <w:rsid w:val="00092EC6"/>
    <w:rsid w:val="000933F1"/>
    <w:rsid w:val="00093522"/>
    <w:rsid w:val="00094518"/>
    <w:rsid w:val="00094A14"/>
    <w:rsid w:val="00094B45"/>
    <w:rsid w:val="00096680"/>
    <w:rsid w:val="00097657"/>
    <w:rsid w:val="00097B3F"/>
    <w:rsid w:val="000A01F6"/>
    <w:rsid w:val="000A0BB1"/>
    <w:rsid w:val="000A22CF"/>
    <w:rsid w:val="000A27FF"/>
    <w:rsid w:val="000A2DF7"/>
    <w:rsid w:val="000A381C"/>
    <w:rsid w:val="000A3AF6"/>
    <w:rsid w:val="000A5E48"/>
    <w:rsid w:val="000A63E1"/>
    <w:rsid w:val="000B2A0F"/>
    <w:rsid w:val="000B477F"/>
    <w:rsid w:val="000B64F8"/>
    <w:rsid w:val="000B7281"/>
    <w:rsid w:val="000B73BA"/>
    <w:rsid w:val="000B747D"/>
    <w:rsid w:val="000B7511"/>
    <w:rsid w:val="000B7558"/>
    <w:rsid w:val="000C05BF"/>
    <w:rsid w:val="000C0757"/>
    <w:rsid w:val="000C07A1"/>
    <w:rsid w:val="000C082E"/>
    <w:rsid w:val="000C0FB6"/>
    <w:rsid w:val="000C26F9"/>
    <w:rsid w:val="000C323D"/>
    <w:rsid w:val="000C3F40"/>
    <w:rsid w:val="000C43A2"/>
    <w:rsid w:val="000C4679"/>
    <w:rsid w:val="000C521E"/>
    <w:rsid w:val="000C575D"/>
    <w:rsid w:val="000C5810"/>
    <w:rsid w:val="000C5E4F"/>
    <w:rsid w:val="000C6EED"/>
    <w:rsid w:val="000D2C16"/>
    <w:rsid w:val="000D3986"/>
    <w:rsid w:val="000D4815"/>
    <w:rsid w:val="000D7BB7"/>
    <w:rsid w:val="000E15AA"/>
    <w:rsid w:val="000E21AD"/>
    <w:rsid w:val="000E21BC"/>
    <w:rsid w:val="000F03D7"/>
    <w:rsid w:val="000F1533"/>
    <w:rsid w:val="000F1A72"/>
    <w:rsid w:val="000F2576"/>
    <w:rsid w:val="000F2632"/>
    <w:rsid w:val="000F46A7"/>
    <w:rsid w:val="000F472E"/>
    <w:rsid w:val="000F4B53"/>
    <w:rsid w:val="000F53BE"/>
    <w:rsid w:val="000F6168"/>
    <w:rsid w:val="00101F98"/>
    <w:rsid w:val="00102DFB"/>
    <w:rsid w:val="001031E7"/>
    <w:rsid w:val="00104517"/>
    <w:rsid w:val="001069BA"/>
    <w:rsid w:val="00107EB4"/>
    <w:rsid w:val="00110DC0"/>
    <w:rsid w:val="00112E36"/>
    <w:rsid w:val="00114B8E"/>
    <w:rsid w:val="00116273"/>
    <w:rsid w:val="00116CCE"/>
    <w:rsid w:val="00116E2A"/>
    <w:rsid w:val="001210BF"/>
    <w:rsid w:val="00121AD6"/>
    <w:rsid w:val="00122BDB"/>
    <w:rsid w:val="00123082"/>
    <w:rsid w:val="00123704"/>
    <w:rsid w:val="00124B64"/>
    <w:rsid w:val="00125028"/>
    <w:rsid w:val="00125154"/>
    <w:rsid w:val="00125774"/>
    <w:rsid w:val="00125A07"/>
    <w:rsid w:val="001270C7"/>
    <w:rsid w:val="00130DA2"/>
    <w:rsid w:val="00131D1F"/>
    <w:rsid w:val="00133237"/>
    <w:rsid w:val="001343DD"/>
    <w:rsid w:val="00134D07"/>
    <w:rsid w:val="00135C94"/>
    <w:rsid w:val="00136130"/>
    <w:rsid w:val="00136D94"/>
    <w:rsid w:val="00140BDC"/>
    <w:rsid w:val="0014161D"/>
    <w:rsid w:val="00142259"/>
    <w:rsid w:val="00142628"/>
    <w:rsid w:val="00142859"/>
    <w:rsid w:val="001429A1"/>
    <w:rsid w:val="00142BCD"/>
    <w:rsid w:val="00143C2F"/>
    <w:rsid w:val="00144379"/>
    <w:rsid w:val="0014786A"/>
    <w:rsid w:val="0015109B"/>
    <w:rsid w:val="001516A4"/>
    <w:rsid w:val="00153D22"/>
    <w:rsid w:val="0015449A"/>
    <w:rsid w:val="00154AD8"/>
    <w:rsid w:val="0015548E"/>
    <w:rsid w:val="001569E9"/>
    <w:rsid w:val="00163F42"/>
    <w:rsid w:val="00163F5B"/>
    <w:rsid w:val="00163FA2"/>
    <w:rsid w:val="00163FF4"/>
    <w:rsid w:val="00164349"/>
    <w:rsid w:val="00164384"/>
    <w:rsid w:val="00164D75"/>
    <w:rsid w:val="001658C8"/>
    <w:rsid w:val="00165BCE"/>
    <w:rsid w:val="00166242"/>
    <w:rsid w:val="00166E04"/>
    <w:rsid w:val="00167BFC"/>
    <w:rsid w:val="00167F79"/>
    <w:rsid w:val="00171AFC"/>
    <w:rsid w:val="001739A0"/>
    <w:rsid w:val="001753DD"/>
    <w:rsid w:val="00175E1B"/>
    <w:rsid w:val="001802CA"/>
    <w:rsid w:val="00180CBA"/>
    <w:rsid w:val="001815A4"/>
    <w:rsid w:val="00181629"/>
    <w:rsid w:val="00181A35"/>
    <w:rsid w:val="00182C7C"/>
    <w:rsid w:val="00183CBA"/>
    <w:rsid w:val="00183FB1"/>
    <w:rsid w:val="00185576"/>
    <w:rsid w:val="00185951"/>
    <w:rsid w:val="00187E70"/>
    <w:rsid w:val="00191587"/>
    <w:rsid w:val="00191E83"/>
    <w:rsid w:val="00192687"/>
    <w:rsid w:val="0019336F"/>
    <w:rsid w:val="00193994"/>
    <w:rsid w:val="00194809"/>
    <w:rsid w:val="001952F9"/>
    <w:rsid w:val="00195B13"/>
    <w:rsid w:val="001976E2"/>
    <w:rsid w:val="001A2505"/>
    <w:rsid w:val="001A4CE3"/>
    <w:rsid w:val="001A4DF1"/>
    <w:rsid w:val="001A4FF5"/>
    <w:rsid w:val="001A5422"/>
    <w:rsid w:val="001A76B4"/>
    <w:rsid w:val="001B0189"/>
    <w:rsid w:val="001B01D9"/>
    <w:rsid w:val="001B0406"/>
    <w:rsid w:val="001B0C39"/>
    <w:rsid w:val="001B1B4E"/>
    <w:rsid w:val="001B2C4B"/>
    <w:rsid w:val="001B5DC5"/>
    <w:rsid w:val="001B793F"/>
    <w:rsid w:val="001B7D7E"/>
    <w:rsid w:val="001C0CF4"/>
    <w:rsid w:val="001C1AF8"/>
    <w:rsid w:val="001C3DBE"/>
    <w:rsid w:val="001C3DE6"/>
    <w:rsid w:val="001C47F8"/>
    <w:rsid w:val="001C49CC"/>
    <w:rsid w:val="001C6550"/>
    <w:rsid w:val="001C793E"/>
    <w:rsid w:val="001C7B4B"/>
    <w:rsid w:val="001D0371"/>
    <w:rsid w:val="001D0FB6"/>
    <w:rsid w:val="001D20C5"/>
    <w:rsid w:val="001D288C"/>
    <w:rsid w:val="001D420E"/>
    <w:rsid w:val="001D5178"/>
    <w:rsid w:val="001D59E3"/>
    <w:rsid w:val="001D7F60"/>
    <w:rsid w:val="001E1E35"/>
    <w:rsid w:val="001E2B34"/>
    <w:rsid w:val="001E2B9C"/>
    <w:rsid w:val="001E34C6"/>
    <w:rsid w:val="001E5581"/>
    <w:rsid w:val="001E6102"/>
    <w:rsid w:val="001E690E"/>
    <w:rsid w:val="001E73BA"/>
    <w:rsid w:val="001E7F3C"/>
    <w:rsid w:val="001F0250"/>
    <w:rsid w:val="001F0D75"/>
    <w:rsid w:val="001F2538"/>
    <w:rsid w:val="001F3AD3"/>
    <w:rsid w:val="001F4636"/>
    <w:rsid w:val="001F4D72"/>
    <w:rsid w:val="001F52B3"/>
    <w:rsid w:val="001F562C"/>
    <w:rsid w:val="001F583B"/>
    <w:rsid w:val="001F6340"/>
    <w:rsid w:val="001F648A"/>
    <w:rsid w:val="00203461"/>
    <w:rsid w:val="002068BD"/>
    <w:rsid w:val="00210629"/>
    <w:rsid w:val="00211122"/>
    <w:rsid w:val="00211B8D"/>
    <w:rsid w:val="002121BE"/>
    <w:rsid w:val="0021384A"/>
    <w:rsid w:val="00214682"/>
    <w:rsid w:val="002161FF"/>
    <w:rsid w:val="00216302"/>
    <w:rsid w:val="002165AB"/>
    <w:rsid w:val="00216ADD"/>
    <w:rsid w:val="002212B1"/>
    <w:rsid w:val="00221806"/>
    <w:rsid w:val="002222A2"/>
    <w:rsid w:val="0022295F"/>
    <w:rsid w:val="002239B1"/>
    <w:rsid w:val="00223E42"/>
    <w:rsid w:val="002306B5"/>
    <w:rsid w:val="0023111C"/>
    <w:rsid w:val="00234DF4"/>
    <w:rsid w:val="00234F48"/>
    <w:rsid w:val="00237401"/>
    <w:rsid w:val="002376BE"/>
    <w:rsid w:val="00237F45"/>
    <w:rsid w:val="00240EB3"/>
    <w:rsid w:val="0024163C"/>
    <w:rsid w:val="00242097"/>
    <w:rsid w:val="00242356"/>
    <w:rsid w:val="002428E3"/>
    <w:rsid w:val="00247458"/>
    <w:rsid w:val="0025034D"/>
    <w:rsid w:val="00250F62"/>
    <w:rsid w:val="0025284C"/>
    <w:rsid w:val="002531C1"/>
    <w:rsid w:val="00253DFE"/>
    <w:rsid w:val="00253F9B"/>
    <w:rsid w:val="00254103"/>
    <w:rsid w:val="0025557A"/>
    <w:rsid w:val="002568BC"/>
    <w:rsid w:val="00256E73"/>
    <w:rsid w:val="002579E2"/>
    <w:rsid w:val="00260BAF"/>
    <w:rsid w:val="00261F77"/>
    <w:rsid w:val="002633CA"/>
    <w:rsid w:val="002644F5"/>
    <w:rsid w:val="00264CB9"/>
    <w:rsid w:val="002650F7"/>
    <w:rsid w:val="00266018"/>
    <w:rsid w:val="00266BB3"/>
    <w:rsid w:val="002678CD"/>
    <w:rsid w:val="00267BA5"/>
    <w:rsid w:val="0027051F"/>
    <w:rsid w:val="002710F0"/>
    <w:rsid w:val="002716A4"/>
    <w:rsid w:val="00272A93"/>
    <w:rsid w:val="002731C3"/>
    <w:rsid w:val="002733CD"/>
    <w:rsid w:val="00273C10"/>
    <w:rsid w:val="0027471C"/>
    <w:rsid w:val="002803F3"/>
    <w:rsid w:val="0028070F"/>
    <w:rsid w:val="00280CF7"/>
    <w:rsid w:val="00280F74"/>
    <w:rsid w:val="00281846"/>
    <w:rsid w:val="00283363"/>
    <w:rsid w:val="00283B9C"/>
    <w:rsid w:val="00286998"/>
    <w:rsid w:val="002874CC"/>
    <w:rsid w:val="00290320"/>
    <w:rsid w:val="00290657"/>
    <w:rsid w:val="002912E8"/>
    <w:rsid w:val="00294F46"/>
    <w:rsid w:val="002957DE"/>
    <w:rsid w:val="00296115"/>
    <w:rsid w:val="002965A7"/>
    <w:rsid w:val="00297320"/>
    <w:rsid w:val="00297DBF"/>
    <w:rsid w:val="002A0E89"/>
    <w:rsid w:val="002A149F"/>
    <w:rsid w:val="002A1CB5"/>
    <w:rsid w:val="002A310E"/>
    <w:rsid w:val="002A5261"/>
    <w:rsid w:val="002A6BF7"/>
    <w:rsid w:val="002B0F2F"/>
    <w:rsid w:val="002B153C"/>
    <w:rsid w:val="002B486A"/>
    <w:rsid w:val="002B5738"/>
    <w:rsid w:val="002B7582"/>
    <w:rsid w:val="002B76D0"/>
    <w:rsid w:val="002C03CB"/>
    <w:rsid w:val="002C12A9"/>
    <w:rsid w:val="002C2320"/>
    <w:rsid w:val="002C3659"/>
    <w:rsid w:val="002C45B0"/>
    <w:rsid w:val="002C6064"/>
    <w:rsid w:val="002C6A05"/>
    <w:rsid w:val="002C7285"/>
    <w:rsid w:val="002C7362"/>
    <w:rsid w:val="002C75D9"/>
    <w:rsid w:val="002C77AF"/>
    <w:rsid w:val="002D0E1B"/>
    <w:rsid w:val="002D1572"/>
    <w:rsid w:val="002D1801"/>
    <w:rsid w:val="002D3129"/>
    <w:rsid w:val="002D317B"/>
    <w:rsid w:val="002D4A7D"/>
    <w:rsid w:val="002D6BF5"/>
    <w:rsid w:val="002D70F3"/>
    <w:rsid w:val="002E05CA"/>
    <w:rsid w:val="002E0F69"/>
    <w:rsid w:val="002E1113"/>
    <w:rsid w:val="002E14DF"/>
    <w:rsid w:val="002E14E1"/>
    <w:rsid w:val="002E184D"/>
    <w:rsid w:val="002E1FAD"/>
    <w:rsid w:val="002E2B03"/>
    <w:rsid w:val="002E3F64"/>
    <w:rsid w:val="002E44D1"/>
    <w:rsid w:val="002E572E"/>
    <w:rsid w:val="002E7941"/>
    <w:rsid w:val="002F1D5F"/>
    <w:rsid w:val="002F35DC"/>
    <w:rsid w:val="002F56DD"/>
    <w:rsid w:val="002F5E6C"/>
    <w:rsid w:val="002F6CE5"/>
    <w:rsid w:val="002F7070"/>
    <w:rsid w:val="0030018C"/>
    <w:rsid w:val="00300D9E"/>
    <w:rsid w:val="0030201A"/>
    <w:rsid w:val="00302C0A"/>
    <w:rsid w:val="00303724"/>
    <w:rsid w:val="003051CC"/>
    <w:rsid w:val="00305814"/>
    <w:rsid w:val="00306B7E"/>
    <w:rsid w:val="00307981"/>
    <w:rsid w:val="00307A15"/>
    <w:rsid w:val="00307CF0"/>
    <w:rsid w:val="00311D97"/>
    <w:rsid w:val="00312597"/>
    <w:rsid w:val="00312FA8"/>
    <w:rsid w:val="003139A4"/>
    <w:rsid w:val="003141DF"/>
    <w:rsid w:val="003155B4"/>
    <w:rsid w:val="00315D5D"/>
    <w:rsid w:val="0031751C"/>
    <w:rsid w:val="00321AA3"/>
    <w:rsid w:val="00323C89"/>
    <w:rsid w:val="00325ACA"/>
    <w:rsid w:val="00326699"/>
    <w:rsid w:val="00327C82"/>
    <w:rsid w:val="0033173E"/>
    <w:rsid w:val="00331B8E"/>
    <w:rsid w:val="0033207E"/>
    <w:rsid w:val="00332D50"/>
    <w:rsid w:val="00333036"/>
    <w:rsid w:val="003331DA"/>
    <w:rsid w:val="00333A9E"/>
    <w:rsid w:val="00334334"/>
    <w:rsid w:val="00334DC0"/>
    <w:rsid w:val="00335F89"/>
    <w:rsid w:val="00340C6F"/>
    <w:rsid w:val="00340DC3"/>
    <w:rsid w:val="003412ED"/>
    <w:rsid w:val="00341585"/>
    <w:rsid w:val="00342938"/>
    <w:rsid w:val="00343296"/>
    <w:rsid w:val="00343F24"/>
    <w:rsid w:val="003477DF"/>
    <w:rsid w:val="0035082A"/>
    <w:rsid w:val="00350DC8"/>
    <w:rsid w:val="00351060"/>
    <w:rsid w:val="00353D56"/>
    <w:rsid w:val="00354379"/>
    <w:rsid w:val="003543B9"/>
    <w:rsid w:val="003554B8"/>
    <w:rsid w:val="00355575"/>
    <w:rsid w:val="003555BF"/>
    <w:rsid w:val="0035620D"/>
    <w:rsid w:val="00360449"/>
    <w:rsid w:val="003605BE"/>
    <w:rsid w:val="00361EB0"/>
    <w:rsid w:val="0036223B"/>
    <w:rsid w:val="0036252A"/>
    <w:rsid w:val="003627AE"/>
    <w:rsid w:val="003646BF"/>
    <w:rsid w:val="00364D9D"/>
    <w:rsid w:val="003668AB"/>
    <w:rsid w:val="00367BD3"/>
    <w:rsid w:val="00371603"/>
    <w:rsid w:val="003735B9"/>
    <w:rsid w:val="003737A8"/>
    <w:rsid w:val="0037461E"/>
    <w:rsid w:val="00374748"/>
    <w:rsid w:val="00377331"/>
    <w:rsid w:val="00382AE3"/>
    <w:rsid w:val="00383906"/>
    <w:rsid w:val="00383DA1"/>
    <w:rsid w:val="00387E90"/>
    <w:rsid w:val="003912B4"/>
    <w:rsid w:val="00391377"/>
    <w:rsid w:val="0039160C"/>
    <w:rsid w:val="00392007"/>
    <w:rsid w:val="0039660F"/>
    <w:rsid w:val="00397335"/>
    <w:rsid w:val="0039741E"/>
    <w:rsid w:val="0039744C"/>
    <w:rsid w:val="00397C46"/>
    <w:rsid w:val="003A008F"/>
    <w:rsid w:val="003A06C8"/>
    <w:rsid w:val="003A0D7C"/>
    <w:rsid w:val="003A1E73"/>
    <w:rsid w:val="003A32D7"/>
    <w:rsid w:val="003A65E8"/>
    <w:rsid w:val="003A667A"/>
    <w:rsid w:val="003A74F5"/>
    <w:rsid w:val="003A7AFA"/>
    <w:rsid w:val="003A7CA6"/>
    <w:rsid w:val="003B40BE"/>
    <w:rsid w:val="003B4CB4"/>
    <w:rsid w:val="003B518B"/>
    <w:rsid w:val="003B58E3"/>
    <w:rsid w:val="003B7612"/>
    <w:rsid w:val="003B7EE7"/>
    <w:rsid w:val="003C11CF"/>
    <w:rsid w:val="003C18C0"/>
    <w:rsid w:val="003C26BD"/>
    <w:rsid w:val="003C2F96"/>
    <w:rsid w:val="003C43FE"/>
    <w:rsid w:val="003C5672"/>
    <w:rsid w:val="003C6ADC"/>
    <w:rsid w:val="003C7467"/>
    <w:rsid w:val="003D1BA7"/>
    <w:rsid w:val="003D1F17"/>
    <w:rsid w:val="003D244F"/>
    <w:rsid w:val="003D2C37"/>
    <w:rsid w:val="003D39EC"/>
    <w:rsid w:val="003D3E27"/>
    <w:rsid w:val="003D4DB2"/>
    <w:rsid w:val="003D53B3"/>
    <w:rsid w:val="003D5452"/>
    <w:rsid w:val="003D606F"/>
    <w:rsid w:val="003D6600"/>
    <w:rsid w:val="003D6943"/>
    <w:rsid w:val="003D78F6"/>
    <w:rsid w:val="003E0D8B"/>
    <w:rsid w:val="003E0DD1"/>
    <w:rsid w:val="003E1E15"/>
    <w:rsid w:val="003E2377"/>
    <w:rsid w:val="003E259A"/>
    <w:rsid w:val="003E3DD5"/>
    <w:rsid w:val="003E4199"/>
    <w:rsid w:val="003E537A"/>
    <w:rsid w:val="003E55D6"/>
    <w:rsid w:val="003E6FCE"/>
    <w:rsid w:val="003E713E"/>
    <w:rsid w:val="003E7ABB"/>
    <w:rsid w:val="003E7BF8"/>
    <w:rsid w:val="003E7ECF"/>
    <w:rsid w:val="003F0833"/>
    <w:rsid w:val="003F0B8C"/>
    <w:rsid w:val="003F1ECD"/>
    <w:rsid w:val="003F26FC"/>
    <w:rsid w:val="003F350F"/>
    <w:rsid w:val="003F44B7"/>
    <w:rsid w:val="003F5947"/>
    <w:rsid w:val="003F75A0"/>
    <w:rsid w:val="00400F1C"/>
    <w:rsid w:val="004016EF"/>
    <w:rsid w:val="00402AAE"/>
    <w:rsid w:val="0040306E"/>
    <w:rsid w:val="004030D8"/>
    <w:rsid w:val="00404B4E"/>
    <w:rsid w:val="00405BB4"/>
    <w:rsid w:val="00406AF7"/>
    <w:rsid w:val="004075F2"/>
    <w:rsid w:val="00407EBD"/>
    <w:rsid w:val="00410DE8"/>
    <w:rsid w:val="00411100"/>
    <w:rsid w:val="004111DA"/>
    <w:rsid w:val="00413A3D"/>
    <w:rsid w:val="00413D48"/>
    <w:rsid w:val="00414ACD"/>
    <w:rsid w:val="004213B0"/>
    <w:rsid w:val="00422948"/>
    <w:rsid w:val="00422FEE"/>
    <w:rsid w:val="00425B9B"/>
    <w:rsid w:val="00430CBE"/>
    <w:rsid w:val="004316EA"/>
    <w:rsid w:val="004374FA"/>
    <w:rsid w:val="00440BB8"/>
    <w:rsid w:val="00441AC2"/>
    <w:rsid w:val="004422F3"/>
    <w:rsid w:val="0044259F"/>
    <w:rsid w:val="004425A0"/>
    <w:rsid w:val="00444592"/>
    <w:rsid w:val="00445FEE"/>
    <w:rsid w:val="0044678E"/>
    <w:rsid w:val="004469C1"/>
    <w:rsid w:val="00446FB1"/>
    <w:rsid w:val="0044707F"/>
    <w:rsid w:val="00447D5E"/>
    <w:rsid w:val="00447E60"/>
    <w:rsid w:val="0045061E"/>
    <w:rsid w:val="00450CD9"/>
    <w:rsid w:val="004510AC"/>
    <w:rsid w:val="004520E4"/>
    <w:rsid w:val="004528F1"/>
    <w:rsid w:val="00452BCD"/>
    <w:rsid w:val="00452F7E"/>
    <w:rsid w:val="00453A1E"/>
    <w:rsid w:val="00454EC1"/>
    <w:rsid w:val="00456A79"/>
    <w:rsid w:val="00456B63"/>
    <w:rsid w:val="00456C9B"/>
    <w:rsid w:val="00456E4F"/>
    <w:rsid w:val="00457070"/>
    <w:rsid w:val="0046002C"/>
    <w:rsid w:val="00460B80"/>
    <w:rsid w:val="00460E7F"/>
    <w:rsid w:val="0046218D"/>
    <w:rsid w:val="00463FDE"/>
    <w:rsid w:val="0046457D"/>
    <w:rsid w:val="004655AB"/>
    <w:rsid w:val="004659CD"/>
    <w:rsid w:val="00467D2E"/>
    <w:rsid w:val="0047063D"/>
    <w:rsid w:val="00470830"/>
    <w:rsid w:val="004726E9"/>
    <w:rsid w:val="00473662"/>
    <w:rsid w:val="00473881"/>
    <w:rsid w:val="00473B74"/>
    <w:rsid w:val="00476808"/>
    <w:rsid w:val="00476C91"/>
    <w:rsid w:val="004776F5"/>
    <w:rsid w:val="0048181B"/>
    <w:rsid w:val="00483F0B"/>
    <w:rsid w:val="00484913"/>
    <w:rsid w:val="00486000"/>
    <w:rsid w:val="004867E2"/>
    <w:rsid w:val="00487527"/>
    <w:rsid w:val="00491162"/>
    <w:rsid w:val="00492A5E"/>
    <w:rsid w:val="0049376D"/>
    <w:rsid w:val="00494495"/>
    <w:rsid w:val="004956ED"/>
    <w:rsid w:val="004A2F38"/>
    <w:rsid w:val="004A5672"/>
    <w:rsid w:val="004A5F55"/>
    <w:rsid w:val="004A7BAF"/>
    <w:rsid w:val="004B02EC"/>
    <w:rsid w:val="004B30C6"/>
    <w:rsid w:val="004B3BB8"/>
    <w:rsid w:val="004B5465"/>
    <w:rsid w:val="004B59D8"/>
    <w:rsid w:val="004B68F5"/>
    <w:rsid w:val="004B7506"/>
    <w:rsid w:val="004C0099"/>
    <w:rsid w:val="004C1123"/>
    <w:rsid w:val="004C1744"/>
    <w:rsid w:val="004C3811"/>
    <w:rsid w:val="004C4242"/>
    <w:rsid w:val="004C6647"/>
    <w:rsid w:val="004C7EE9"/>
    <w:rsid w:val="004C7FE0"/>
    <w:rsid w:val="004D07B2"/>
    <w:rsid w:val="004D106D"/>
    <w:rsid w:val="004D1C3B"/>
    <w:rsid w:val="004D2E94"/>
    <w:rsid w:val="004D372F"/>
    <w:rsid w:val="004D3D8B"/>
    <w:rsid w:val="004D403F"/>
    <w:rsid w:val="004D4757"/>
    <w:rsid w:val="004D5643"/>
    <w:rsid w:val="004D6440"/>
    <w:rsid w:val="004D76BD"/>
    <w:rsid w:val="004E009E"/>
    <w:rsid w:val="004E022E"/>
    <w:rsid w:val="004E03C1"/>
    <w:rsid w:val="004E13BE"/>
    <w:rsid w:val="004E271E"/>
    <w:rsid w:val="004E32F0"/>
    <w:rsid w:val="004E4763"/>
    <w:rsid w:val="004E4EE9"/>
    <w:rsid w:val="004E60C0"/>
    <w:rsid w:val="004E62ED"/>
    <w:rsid w:val="004E7715"/>
    <w:rsid w:val="004F252B"/>
    <w:rsid w:val="004F2FDB"/>
    <w:rsid w:val="004F391C"/>
    <w:rsid w:val="004F3C83"/>
    <w:rsid w:val="004F4285"/>
    <w:rsid w:val="004F5098"/>
    <w:rsid w:val="004F67D0"/>
    <w:rsid w:val="004F680B"/>
    <w:rsid w:val="004F6950"/>
    <w:rsid w:val="00500FE9"/>
    <w:rsid w:val="00502AF4"/>
    <w:rsid w:val="00502C4F"/>
    <w:rsid w:val="005036D2"/>
    <w:rsid w:val="00503860"/>
    <w:rsid w:val="00504887"/>
    <w:rsid w:val="00504CC4"/>
    <w:rsid w:val="00504EC6"/>
    <w:rsid w:val="005059B4"/>
    <w:rsid w:val="00505E80"/>
    <w:rsid w:val="00507B8D"/>
    <w:rsid w:val="00510633"/>
    <w:rsid w:val="005113B1"/>
    <w:rsid w:val="00512A53"/>
    <w:rsid w:val="00513024"/>
    <w:rsid w:val="005131D1"/>
    <w:rsid w:val="0051422A"/>
    <w:rsid w:val="00514729"/>
    <w:rsid w:val="005150FC"/>
    <w:rsid w:val="00516022"/>
    <w:rsid w:val="005166D1"/>
    <w:rsid w:val="00521CEE"/>
    <w:rsid w:val="00523257"/>
    <w:rsid w:val="00523EC9"/>
    <w:rsid w:val="00523F8B"/>
    <w:rsid w:val="005244A3"/>
    <w:rsid w:val="00524D65"/>
    <w:rsid w:val="00526E66"/>
    <w:rsid w:val="00526EC4"/>
    <w:rsid w:val="00530233"/>
    <w:rsid w:val="00532172"/>
    <w:rsid w:val="00532596"/>
    <w:rsid w:val="00534880"/>
    <w:rsid w:val="0053786C"/>
    <w:rsid w:val="0053789D"/>
    <w:rsid w:val="00537DB3"/>
    <w:rsid w:val="005415F2"/>
    <w:rsid w:val="005425A7"/>
    <w:rsid w:val="005452CC"/>
    <w:rsid w:val="005466EF"/>
    <w:rsid w:val="005469CE"/>
    <w:rsid w:val="005477C5"/>
    <w:rsid w:val="00547CB3"/>
    <w:rsid w:val="005505A1"/>
    <w:rsid w:val="005506A2"/>
    <w:rsid w:val="005530A7"/>
    <w:rsid w:val="00553DEE"/>
    <w:rsid w:val="0055431F"/>
    <w:rsid w:val="005546E2"/>
    <w:rsid w:val="00554727"/>
    <w:rsid w:val="005553AD"/>
    <w:rsid w:val="005557A8"/>
    <w:rsid w:val="00556D2C"/>
    <w:rsid w:val="005574CE"/>
    <w:rsid w:val="0055776D"/>
    <w:rsid w:val="00560C89"/>
    <w:rsid w:val="005624A7"/>
    <w:rsid w:val="00562ED1"/>
    <w:rsid w:val="005641A3"/>
    <w:rsid w:val="0056434D"/>
    <w:rsid w:val="0056454C"/>
    <w:rsid w:val="005652E2"/>
    <w:rsid w:val="00572658"/>
    <w:rsid w:val="00573041"/>
    <w:rsid w:val="0057402A"/>
    <w:rsid w:val="005749A5"/>
    <w:rsid w:val="00576959"/>
    <w:rsid w:val="0057732A"/>
    <w:rsid w:val="005820F8"/>
    <w:rsid w:val="00582942"/>
    <w:rsid w:val="00584568"/>
    <w:rsid w:val="00586068"/>
    <w:rsid w:val="00587721"/>
    <w:rsid w:val="00587797"/>
    <w:rsid w:val="005903FB"/>
    <w:rsid w:val="00593255"/>
    <w:rsid w:val="005936CB"/>
    <w:rsid w:val="00593B69"/>
    <w:rsid w:val="005943F9"/>
    <w:rsid w:val="0059530B"/>
    <w:rsid w:val="0059680A"/>
    <w:rsid w:val="005968D8"/>
    <w:rsid w:val="00597477"/>
    <w:rsid w:val="005A03A3"/>
    <w:rsid w:val="005A1763"/>
    <w:rsid w:val="005A1D89"/>
    <w:rsid w:val="005A463A"/>
    <w:rsid w:val="005A5A41"/>
    <w:rsid w:val="005A5C99"/>
    <w:rsid w:val="005A6ADB"/>
    <w:rsid w:val="005A79E3"/>
    <w:rsid w:val="005B0273"/>
    <w:rsid w:val="005B0ADD"/>
    <w:rsid w:val="005B36E0"/>
    <w:rsid w:val="005B3D78"/>
    <w:rsid w:val="005B4F97"/>
    <w:rsid w:val="005B6A16"/>
    <w:rsid w:val="005B77E3"/>
    <w:rsid w:val="005C164B"/>
    <w:rsid w:val="005C1A3A"/>
    <w:rsid w:val="005C22DD"/>
    <w:rsid w:val="005C244F"/>
    <w:rsid w:val="005C3FE0"/>
    <w:rsid w:val="005C400C"/>
    <w:rsid w:val="005C4A83"/>
    <w:rsid w:val="005C5BBD"/>
    <w:rsid w:val="005C7308"/>
    <w:rsid w:val="005C740C"/>
    <w:rsid w:val="005C79BA"/>
    <w:rsid w:val="005D0159"/>
    <w:rsid w:val="005D0300"/>
    <w:rsid w:val="005D0473"/>
    <w:rsid w:val="005D063A"/>
    <w:rsid w:val="005D1E27"/>
    <w:rsid w:val="005D2A79"/>
    <w:rsid w:val="005D3322"/>
    <w:rsid w:val="005D6886"/>
    <w:rsid w:val="005E17A4"/>
    <w:rsid w:val="005E25D4"/>
    <w:rsid w:val="005E6236"/>
    <w:rsid w:val="005F001E"/>
    <w:rsid w:val="005F0E31"/>
    <w:rsid w:val="005F23DB"/>
    <w:rsid w:val="005F2F08"/>
    <w:rsid w:val="005F3102"/>
    <w:rsid w:val="005F3C85"/>
    <w:rsid w:val="005F3FB6"/>
    <w:rsid w:val="005F431D"/>
    <w:rsid w:val="005F4FE7"/>
    <w:rsid w:val="005F55C9"/>
    <w:rsid w:val="00600777"/>
    <w:rsid w:val="0060167A"/>
    <w:rsid w:val="0060213A"/>
    <w:rsid w:val="00602145"/>
    <w:rsid w:val="00604859"/>
    <w:rsid w:val="006048F4"/>
    <w:rsid w:val="00604F46"/>
    <w:rsid w:val="00606459"/>
    <w:rsid w:val="006064E1"/>
    <w:rsid w:val="0060660A"/>
    <w:rsid w:val="00610AAA"/>
    <w:rsid w:val="00611CB0"/>
    <w:rsid w:val="00612294"/>
    <w:rsid w:val="006123B1"/>
    <w:rsid w:val="00613D07"/>
    <w:rsid w:val="006144B7"/>
    <w:rsid w:val="0061509D"/>
    <w:rsid w:val="006154C6"/>
    <w:rsid w:val="00615DAA"/>
    <w:rsid w:val="00617313"/>
    <w:rsid w:val="00617A44"/>
    <w:rsid w:val="00621767"/>
    <w:rsid w:val="00621CE4"/>
    <w:rsid w:val="00622153"/>
    <w:rsid w:val="006247EB"/>
    <w:rsid w:val="00625ABD"/>
    <w:rsid w:val="00625CD0"/>
    <w:rsid w:val="00625EB1"/>
    <w:rsid w:val="006271BD"/>
    <w:rsid w:val="006316B8"/>
    <w:rsid w:val="00631889"/>
    <w:rsid w:val="00632896"/>
    <w:rsid w:val="006329A1"/>
    <w:rsid w:val="00633D2B"/>
    <w:rsid w:val="00634621"/>
    <w:rsid w:val="00634A3C"/>
    <w:rsid w:val="00635DE3"/>
    <w:rsid w:val="00636AFD"/>
    <w:rsid w:val="006375B8"/>
    <w:rsid w:val="00642074"/>
    <w:rsid w:val="00645EC4"/>
    <w:rsid w:val="006468A0"/>
    <w:rsid w:val="006469F6"/>
    <w:rsid w:val="00646E47"/>
    <w:rsid w:val="00651441"/>
    <w:rsid w:val="00651D35"/>
    <w:rsid w:val="00651DC0"/>
    <w:rsid w:val="006522A0"/>
    <w:rsid w:val="0065281C"/>
    <w:rsid w:val="00653817"/>
    <w:rsid w:val="006565D2"/>
    <w:rsid w:val="006569DB"/>
    <w:rsid w:val="00656C96"/>
    <w:rsid w:val="00657247"/>
    <w:rsid w:val="006614C4"/>
    <w:rsid w:val="00661591"/>
    <w:rsid w:val="00662125"/>
    <w:rsid w:val="00663E9A"/>
    <w:rsid w:val="0066632F"/>
    <w:rsid w:val="006665E1"/>
    <w:rsid w:val="00667BAB"/>
    <w:rsid w:val="0067057E"/>
    <w:rsid w:val="00670DD3"/>
    <w:rsid w:val="006711DA"/>
    <w:rsid w:val="00671AD8"/>
    <w:rsid w:val="00672CA1"/>
    <w:rsid w:val="0067329B"/>
    <w:rsid w:val="00673B80"/>
    <w:rsid w:val="00674C14"/>
    <w:rsid w:val="00680691"/>
    <w:rsid w:val="0068182A"/>
    <w:rsid w:val="00681B2D"/>
    <w:rsid w:val="006844A0"/>
    <w:rsid w:val="00686022"/>
    <w:rsid w:val="006875B7"/>
    <w:rsid w:val="00687998"/>
    <w:rsid w:val="006879A0"/>
    <w:rsid w:val="0069047B"/>
    <w:rsid w:val="00690DCA"/>
    <w:rsid w:val="00691046"/>
    <w:rsid w:val="00692E7B"/>
    <w:rsid w:val="0069317D"/>
    <w:rsid w:val="00693219"/>
    <w:rsid w:val="006956A1"/>
    <w:rsid w:val="0069702B"/>
    <w:rsid w:val="006A28AC"/>
    <w:rsid w:val="006A3362"/>
    <w:rsid w:val="006A4DB5"/>
    <w:rsid w:val="006A52D6"/>
    <w:rsid w:val="006A670C"/>
    <w:rsid w:val="006A6FA2"/>
    <w:rsid w:val="006A73B3"/>
    <w:rsid w:val="006A78DD"/>
    <w:rsid w:val="006B021E"/>
    <w:rsid w:val="006B03AF"/>
    <w:rsid w:val="006B0D67"/>
    <w:rsid w:val="006B1DC7"/>
    <w:rsid w:val="006B2292"/>
    <w:rsid w:val="006B2CCB"/>
    <w:rsid w:val="006B329D"/>
    <w:rsid w:val="006B3A5E"/>
    <w:rsid w:val="006B6FBC"/>
    <w:rsid w:val="006C114E"/>
    <w:rsid w:val="006C12AE"/>
    <w:rsid w:val="006C1EB0"/>
    <w:rsid w:val="006C23DF"/>
    <w:rsid w:val="006C2535"/>
    <w:rsid w:val="006C3A41"/>
    <w:rsid w:val="006C4C62"/>
    <w:rsid w:val="006C5413"/>
    <w:rsid w:val="006C65A1"/>
    <w:rsid w:val="006C6C62"/>
    <w:rsid w:val="006C7CA9"/>
    <w:rsid w:val="006D05D6"/>
    <w:rsid w:val="006D3256"/>
    <w:rsid w:val="006D4B0D"/>
    <w:rsid w:val="006D545C"/>
    <w:rsid w:val="006D5DC2"/>
    <w:rsid w:val="006D60B4"/>
    <w:rsid w:val="006D635E"/>
    <w:rsid w:val="006D6F1B"/>
    <w:rsid w:val="006D75E1"/>
    <w:rsid w:val="006D7F64"/>
    <w:rsid w:val="006E1D70"/>
    <w:rsid w:val="006E263E"/>
    <w:rsid w:val="006E3546"/>
    <w:rsid w:val="006E365A"/>
    <w:rsid w:val="006E38C3"/>
    <w:rsid w:val="006E4D97"/>
    <w:rsid w:val="006E7216"/>
    <w:rsid w:val="006F0D0A"/>
    <w:rsid w:val="006F0F93"/>
    <w:rsid w:val="006F17B6"/>
    <w:rsid w:val="006F35FA"/>
    <w:rsid w:val="006F69F9"/>
    <w:rsid w:val="006F7812"/>
    <w:rsid w:val="00703AEF"/>
    <w:rsid w:val="00704CCA"/>
    <w:rsid w:val="0070543F"/>
    <w:rsid w:val="007055E9"/>
    <w:rsid w:val="00705BC0"/>
    <w:rsid w:val="00705C87"/>
    <w:rsid w:val="00707E10"/>
    <w:rsid w:val="00707EA6"/>
    <w:rsid w:val="00710978"/>
    <w:rsid w:val="00713044"/>
    <w:rsid w:val="00713F74"/>
    <w:rsid w:val="007146F0"/>
    <w:rsid w:val="00714C30"/>
    <w:rsid w:val="00715237"/>
    <w:rsid w:val="00715F39"/>
    <w:rsid w:val="00716F76"/>
    <w:rsid w:val="007172A3"/>
    <w:rsid w:val="00720573"/>
    <w:rsid w:val="00720DB4"/>
    <w:rsid w:val="0072120E"/>
    <w:rsid w:val="00722293"/>
    <w:rsid w:val="00722F4B"/>
    <w:rsid w:val="007230FA"/>
    <w:rsid w:val="00724101"/>
    <w:rsid w:val="007250F0"/>
    <w:rsid w:val="007254A5"/>
    <w:rsid w:val="00725748"/>
    <w:rsid w:val="00730D14"/>
    <w:rsid w:val="00734374"/>
    <w:rsid w:val="007343F0"/>
    <w:rsid w:val="00735496"/>
    <w:rsid w:val="00736D0D"/>
    <w:rsid w:val="00736DEB"/>
    <w:rsid w:val="0073720D"/>
    <w:rsid w:val="00737AC7"/>
    <w:rsid w:val="0074001C"/>
    <w:rsid w:val="007402E0"/>
    <w:rsid w:val="007418AE"/>
    <w:rsid w:val="00742AB9"/>
    <w:rsid w:val="00742F38"/>
    <w:rsid w:val="00743337"/>
    <w:rsid w:val="00745016"/>
    <w:rsid w:val="00746658"/>
    <w:rsid w:val="007470F8"/>
    <w:rsid w:val="007470FB"/>
    <w:rsid w:val="00750846"/>
    <w:rsid w:val="00750A91"/>
    <w:rsid w:val="00751CF9"/>
    <w:rsid w:val="0075240B"/>
    <w:rsid w:val="00752DD7"/>
    <w:rsid w:val="0075368B"/>
    <w:rsid w:val="00754176"/>
    <w:rsid w:val="00754666"/>
    <w:rsid w:val="00754FBF"/>
    <w:rsid w:val="00755248"/>
    <w:rsid w:val="007560AB"/>
    <w:rsid w:val="00756754"/>
    <w:rsid w:val="00757005"/>
    <w:rsid w:val="0075778A"/>
    <w:rsid w:val="0076016D"/>
    <w:rsid w:val="007606CE"/>
    <w:rsid w:val="00760C95"/>
    <w:rsid w:val="00763BB2"/>
    <w:rsid w:val="0077029E"/>
    <w:rsid w:val="0077048E"/>
    <w:rsid w:val="00770864"/>
    <w:rsid w:val="00772334"/>
    <w:rsid w:val="007724AB"/>
    <w:rsid w:val="00772734"/>
    <w:rsid w:val="00774B22"/>
    <w:rsid w:val="00775344"/>
    <w:rsid w:val="00775D8A"/>
    <w:rsid w:val="0077737C"/>
    <w:rsid w:val="007777DF"/>
    <w:rsid w:val="00781BE3"/>
    <w:rsid w:val="00781CED"/>
    <w:rsid w:val="007828B3"/>
    <w:rsid w:val="007831C7"/>
    <w:rsid w:val="00783559"/>
    <w:rsid w:val="00783B2B"/>
    <w:rsid w:val="0078421D"/>
    <w:rsid w:val="0078554C"/>
    <w:rsid w:val="00785748"/>
    <w:rsid w:val="00785D94"/>
    <w:rsid w:val="00785F18"/>
    <w:rsid w:val="0078608E"/>
    <w:rsid w:val="00786645"/>
    <w:rsid w:val="00786698"/>
    <w:rsid w:val="0078783E"/>
    <w:rsid w:val="0079029D"/>
    <w:rsid w:val="00792AB2"/>
    <w:rsid w:val="007A3123"/>
    <w:rsid w:val="007A3BEE"/>
    <w:rsid w:val="007A4105"/>
    <w:rsid w:val="007A474C"/>
    <w:rsid w:val="007A735E"/>
    <w:rsid w:val="007B0280"/>
    <w:rsid w:val="007B163C"/>
    <w:rsid w:val="007B22D9"/>
    <w:rsid w:val="007B2BC2"/>
    <w:rsid w:val="007B54BC"/>
    <w:rsid w:val="007B6E9D"/>
    <w:rsid w:val="007B7766"/>
    <w:rsid w:val="007C0CE8"/>
    <w:rsid w:val="007C10F1"/>
    <w:rsid w:val="007C2461"/>
    <w:rsid w:val="007C406E"/>
    <w:rsid w:val="007C66A9"/>
    <w:rsid w:val="007C6DB1"/>
    <w:rsid w:val="007C7932"/>
    <w:rsid w:val="007C7F09"/>
    <w:rsid w:val="007D08AB"/>
    <w:rsid w:val="007D0AC3"/>
    <w:rsid w:val="007D11D8"/>
    <w:rsid w:val="007D25B4"/>
    <w:rsid w:val="007D2C22"/>
    <w:rsid w:val="007D425A"/>
    <w:rsid w:val="007D5658"/>
    <w:rsid w:val="007D6565"/>
    <w:rsid w:val="007D6744"/>
    <w:rsid w:val="007E1149"/>
    <w:rsid w:val="007E1560"/>
    <w:rsid w:val="007E2C0D"/>
    <w:rsid w:val="007E33F7"/>
    <w:rsid w:val="007E435C"/>
    <w:rsid w:val="007E6BE6"/>
    <w:rsid w:val="007E6F99"/>
    <w:rsid w:val="007E71F3"/>
    <w:rsid w:val="007F100C"/>
    <w:rsid w:val="007F1982"/>
    <w:rsid w:val="007F428E"/>
    <w:rsid w:val="007F6A21"/>
    <w:rsid w:val="007F74ED"/>
    <w:rsid w:val="0080096E"/>
    <w:rsid w:val="00800E45"/>
    <w:rsid w:val="00801373"/>
    <w:rsid w:val="00802242"/>
    <w:rsid w:val="0080231A"/>
    <w:rsid w:val="008034CA"/>
    <w:rsid w:val="008050E6"/>
    <w:rsid w:val="00806B95"/>
    <w:rsid w:val="00807805"/>
    <w:rsid w:val="00810CFA"/>
    <w:rsid w:val="00811392"/>
    <w:rsid w:val="00812028"/>
    <w:rsid w:val="00814BA6"/>
    <w:rsid w:val="00814D03"/>
    <w:rsid w:val="0081537D"/>
    <w:rsid w:val="00816074"/>
    <w:rsid w:val="00820F4D"/>
    <w:rsid w:val="00823438"/>
    <w:rsid w:val="008239DB"/>
    <w:rsid w:val="00824629"/>
    <w:rsid w:val="008258AC"/>
    <w:rsid w:val="0083178B"/>
    <w:rsid w:val="00833695"/>
    <w:rsid w:val="00834721"/>
    <w:rsid w:val="00834F99"/>
    <w:rsid w:val="00835596"/>
    <w:rsid w:val="008364EF"/>
    <w:rsid w:val="0083788B"/>
    <w:rsid w:val="00837C66"/>
    <w:rsid w:val="008407B5"/>
    <w:rsid w:val="008409AE"/>
    <w:rsid w:val="008423AD"/>
    <w:rsid w:val="00842492"/>
    <w:rsid w:val="00842A21"/>
    <w:rsid w:val="00842CD8"/>
    <w:rsid w:val="008435CC"/>
    <w:rsid w:val="00846702"/>
    <w:rsid w:val="008468C3"/>
    <w:rsid w:val="008517DE"/>
    <w:rsid w:val="00851BC3"/>
    <w:rsid w:val="008520D8"/>
    <w:rsid w:val="008525B2"/>
    <w:rsid w:val="008530B2"/>
    <w:rsid w:val="00854342"/>
    <w:rsid w:val="008553C7"/>
    <w:rsid w:val="00857770"/>
    <w:rsid w:val="00857FEB"/>
    <w:rsid w:val="00860A59"/>
    <w:rsid w:val="00860B95"/>
    <w:rsid w:val="008616E0"/>
    <w:rsid w:val="00862050"/>
    <w:rsid w:val="008624AD"/>
    <w:rsid w:val="008624F0"/>
    <w:rsid w:val="00863D64"/>
    <w:rsid w:val="00863F2E"/>
    <w:rsid w:val="008646B0"/>
    <w:rsid w:val="00864B45"/>
    <w:rsid w:val="008666D2"/>
    <w:rsid w:val="008670D5"/>
    <w:rsid w:val="0086712E"/>
    <w:rsid w:val="0087072B"/>
    <w:rsid w:val="0087184C"/>
    <w:rsid w:val="00871B05"/>
    <w:rsid w:val="008720EB"/>
    <w:rsid w:val="008735BA"/>
    <w:rsid w:val="00873E5C"/>
    <w:rsid w:val="008753FC"/>
    <w:rsid w:val="00875F96"/>
    <w:rsid w:val="00876513"/>
    <w:rsid w:val="008777AA"/>
    <w:rsid w:val="008802A6"/>
    <w:rsid w:val="00880A18"/>
    <w:rsid w:val="008812FB"/>
    <w:rsid w:val="00882814"/>
    <w:rsid w:val="00884ABB"/>
    <w:rsid w:val="00886E97"/>
    <w:rsid w:val="00891692"/>
    <w:rsid w:val="00892002"/>
    <w:rsid w:val="00892EBA"/>
    <w:rsid w:val="008934AE"/>
    <w:rsid w:val="008934E6"/>
    <w:rsid w:val="0089543D"/>
    <w:rsid w:val="008975CD"/>
    <w:rsid w:val="008A186C"/>
    <w:rsid w:val="008A3258"/>
    <w:rsid w:val="008A46A9"/>
    <w:rsid w:val="008A5A3F"/>
    <w:rsid w:val="008A646F"/>
    <w:rsid w:val="008A702B"/>
    <w:rsid w:val="008A7174"/>
    <w:rsid w:val="008B1723"/>
    <w:rsid w:val="008B1BE5"/>
    <w:rsid w:val="008B378C"/>
    <w:rsid w:val="008B3929"/>
    <w:rsid w:val="008B3C2F"/>
    <w:rsid w:val="008B4118"/>
    <w:rsid w:val="008B4208"/>
    <w:rsid w:val="008B45D6"/>
    <w:rsid w:val="008B4CB3"/>
    <w:rsid w:val="008B54B2"/>
    <w:rsid w:val="008B54FB"/>
    <w:rsid w:val="008B5D4A"/>
    <w:rsid w:val="008B720C"/>
    <w:rsid w:val="008B731A"/>
    <w:rsid w:val="008C02AE"/>
    <w:rsid w:val="008C2425"/>
    <w:rsid w:val="008C2444"/>
    <w:rsid w:val="008C3F57"/>
    <w:rsid w:val="008C46FD"/>
    <w:rsid w:val="008C5B1C"/>
    <w:rsid w:val="008C67AF"/>
    <w:rsid w:val="008C78FD"/>
    <w:rsid w:val="008D0EBE"/>
    <w:rsid w:val="008D2355"/>
    <w:rsid w:val="008D2D39"/>
    <w:rsid w:val="008D2FA9"/>
    <w:rsid w:val="008D3CEA"/>
    <w:rsid w:val="008D58B7"/>
    <w:rsid w:val="008D5B01"/>
    <w:rsid w:val="008E011B"/>
    <w:rsid w:val="008E22BC"/>
    <w:rsid w:val="008E29B4"/>
    <w:rsid w:val="008E35E2"/>
    <w:rsid w:val="008E5127"/>
    <w:rsid w:val="008E5F59"/>
    <w:rsid w:val="008E7AC3"/>
    <w:rsid w:val="008F0C84"/>
    <w:rsid w:val="008F1B70"/>
    <w:rsid w:val="008F2143"/>
    <w:rsid w:val="008F3122"/>
    <w:rsid w:val="008F4A8D"/>
    <w:rsid w:val="00900C34"/>
    <w:rsid w:val="00901121"/>
    <w:rsid w:val="00901DEF"/>
    <w:rsid w:val="00902FF2"/>
    <w:rsid w:val="00903B67"/>
    <w:rsid w:val="00904A9D"/>
    <w:rsid w:val="00905965"/>
    <w:rsid w:val="00905B6D"/>
    <w:rsid w:val="0090647C"/>
    <w:rsid w:val="0090651A"/>
    <w:rsid w:val="0091000A"/>
    <w:rsid w:val="00910642"/>
    <w:rsid w:val="00913FFB"/>
    <w:rsid w:val="009160BB"/>
    <w:rsid w:val="00916274"/>
    <w:rsid w:val="009166AD"/>
    <w:rsid w:val="00917821"/>
    <w:rsid w:val="00917B7B"/>
    <w:rsid w:val="00917BAC"/>
    <w:rsid w:val="00921A22"/>
    <w:rsid w:val="00923CAB"/>
    <w:rsid w:val="00925C95"/>
    <w:rsid w:val="009268A2"/>
    <w:rsid w:val="00927293"/>
    <w:rsid w:val="009311C8"/>
    <w:rsid w:val="00932D61"/>
    <w:rsid w:val="00933376"/>
    <w:rsid w:val="009336FC"/>
    <w:rsid w:val="00937A19"/>
    <w:rsid w:val="00937CE6"/>
    <w:rsid w:val="00940C5F"/>
    <w:rsid w:val="00942355"/>
    <w:rsid w:val="00943926"/>
    <w:rsid w:val="00943F25"/>
    <w:rsid w:val="00944F01"/>
    <w:rsid w:val="00945691"/>
    <w:rsid w:val="00946ADC"/>
    <w:rsid w:val="00946D29"/>
    <w:rsid w:val="0095050D"/>
    <w:rsid w:val="009513C2"/>
    <w:rsid w:val="0095259F"/>
    <w:rsid w:val="00953436"/>
    <w:rsid w:val="009534EF"/>
    <w:rsid w:val="0095352B"/>
    <w:rsid w:val="00955025"/>
    <w:rsid w:val="00955A7F"/>
    <w:rsid w:val="0095748C"/>
    <w:rsid w:val="0096077C"/>
    <w:rsid w:val="00960ADA"/>
    <w:rsid w:val="0096143B"/>
    <w:rsid w:val="00961C28"/>
    <w:rsid w:val="00961FA7"/>
    <w:rsid w:val="0096245A"/>
    <w:rsid w:val="009627A5"/>
    <w:rsid w:val="00962C56"/>
    <w:rsid w:val="00964BBF"/>
    <w:rsid w:val="00964F30"/>
    <w:rsid w:val="00965248"/>
    <w:rsid w:val="00965FD5"/>
    <w:rsid w:val="009668DE"/>
    <w:rsid w:val="00967346"/>
    <w:rsid w:val="009711D9"/>
    <w:rsid w:val="009718F9"/>
    <w:rsid w:val="0097294F"/>
    <w:rsid w:val="00975112"/>
    <w:rsid w:val="00975202"/>
    <w:rsid w:val="009753D7"/>
    <w:rsid w:val="00976DFF"/>
    <w:rsid w:val="00977002"/>
    <w:rsid w:val="009774C4"/>
    <w:rsid w:val="00977ECB"/>
    <w:rsid w:val="00980D11"/>
    <w:rsid w:val="00980E03"/>
    <w:rsid w:val="009811DF"/>
    <w:rsid w:val="009823B8"/>
    <w:rsid w:val="00982B90"/>
    <w:rsid w:val="00982E82"/>
    <w:rsid w:val="00983333"/>
    <w:rsid w:val="009835B0"/>
    <w:rsid w:val="00983A7C"/>
    <w:rsid w:val="00984D7B"/>
    <w:rsid w:val="00985D95"/>
    <w:rsid w:val="00991B5F"/>
    <w:rsid w:val="00991C2E"/>
    <w:rsid w:val="0099220C"/>
    <w:rsid w:val="0099469B"/>
    <w:rsid w:val="00997999"/>
    <w:rsid w:val="009A0FF6"/>
    <w:rsid w:val="009A15FA"/>
    <w:rsid w:val="009A25BF"/>
    <w:rsid w:val="009A342B"/>
    <w:rsid w:val="009A3ADF"/>
    <w:rsid w:val="009A3B71"/>
    <w:rsid w:val="009A3CA0"/>
    <w:rsid w:val="009A513F"/>
    <w:rsid w:val="009A542C"/>
    <w:rsid w:val="009A61BC"/>
    <w:rsid w:val="009A6527"/>
    <w:rsid w:val="009A676D"/>
    <w:rsid w:val="009A727A"/>
    <w:rsid w:val="009A7E72"/>
    <w:rsid w:val="009B1466"/>
    <w:rsid w:val="009B23D3"/>
    <w:rsid w:val="009B24B7"/>
    <w:rsid w:val="009B41E7"/>
    <w:rsid w:val="009B424D"/>
    <w:rsid w:val="009B57FB"/>
    <w:rsid w:val="009B7709"/>
    <w:rsid w:val="009C1AC6"/>
    <w:rsid w:val="009C1C75"/>
    <w:rsid w:val="009C29F4"/>
    <w:rsid w:val="009C37AE"/>
    <w:rsid w:val="009C426A"/>
    <w:rsid w:val="009C42BC"/>
    <w:rsid w:val="009C4AAC"/>
    <w:rsid w:val="009C4F04"/>
    <w:rsid w:val="009C5EC3"/>
    <w:rsid w:val="009C6277"/>
    <w:rsid w:val="009C692B"/>
    <w:rsid w:val="009C724E"/>
    <w:rsid w:val="009D277F"/>
    <w:rsid w:val="009D7120"/>
    <w:rsid w:val="009D7DFA"/>
    <w:rsid w:val="009E042D"/>
    <w:rsid w:val="009E0956"/>
    <w:rsid w:val="009E1B8B"/>
    <w:rsid w:val="009E37E6"/>
    <w:rsid w:val="009E584D"/>
    <w:rsid w:val="009E5CE3"/>
    <w:rsid w:val="009E6427"/>
    <w:rsid w:val="009E71C1"/>
    <w:rsid w:val="009F3851"/>
    <w:rsid w:val="009F3A49"/>
    <w:rsid w:val="009F4500"/>
    <w:rsid w:val="009F76F6"/>
    <w:rsid w:val="00A013F5"/>
    <w:rsid w:val="00A01CA0"/>
    <w:rsid w:val="00A02980"/>
    <w:rsid w:val="00A04081"/>
    <w:rsid w:val="00A0438B"/>
    <w:rsid w:val="00A043B4"/>
    <w:rsid w:val="00A04DC0"/>
    <w:rsid w:val="00A062FB"/>
    <w:rsid w:val="00A06827"/>
    <w:rsid w:val="00A06BB6"/>
    <w:rsid w:val="00A07510"/>
    <w:rsid w:val="00A07737"/>
    <w:rsid w:val="00A07D00"/>
    <w:rsid w:val="00A10614"/>
    <w:rsid w:val="00A10E98"/>
    <w:rsid w:val="00A11768"/>
    <w:rsid w:val="00A12458"/>
    <w:rsid w:val="00A13499"/>
    <w:rsid w:val="00A139AA"/>
    <w:rsid w:val="00A140D0"/>
    <w:rsid w:val="00A149C1"/>
    <w:rsid w:val="00A14A93"/>
    <w:rsid w:val="00A167EA"/>
    <w:rsid w:val="00A17BD7"/>
    <w:rsid w:val="00A2172A"/>
    <w:rsid w:val="00A21A93"/>
    <w:rsid w:val="00A21B3B"/>
    <w:rsid w:val="00A2455B"/>
    <w:rsid w:val="00A245B7"/>
    <w:rsid w:val="00A25B4A"/>
    <w:rsid w:val="00A25FA9"/>
    <w:rsid w:val="00A26E64"/>
    <w:rsid w:val="00A27328"/>
    <w:rsid w:val="00A277F9"/>
    <w:rsid w:val="00A30E68"/>
    <w:rsid w:val="00A311D5"/>
    <w:rsid w:val="00A31885"/>
    <w:rsid w:val="00A33374"/>
    <w:rsid w:val="00A33763"/>
    <w:rsid w:val="00A346FC"/>
    <w:rsid w:val="00A34AA0"/>
    <w:rsid w:val="00A35A10"/>
    <w:rsid w:val="00A35B30"/>
    <w:rsid w:val="00A35BEC"/>
    <w:rsid w:val="00A373C4"/>
    <w:rsid w:val="00A37B8E"/>
    <w:rsid w:val="00A41EFC"/>
    <w:rsid w:val="00A4371E"/>
    <w:rsid w:val="00A46158"/>
    <w:rsid w:val="00A472F6"/>
    <w:rsid w:val="00A47733"/>
    <w:rsid w:val="00A511CD"/>
    <w:rsid w:val="00A551E6"/>
    <w:rsid w:val="00A560F0"/>
    <w:rsid w:val="00A56946"/>
    <w:rsid w:val="00A57659"/>
    <w:rsid w:val="00A57688"/>
    <w:rsid w:val="00A578D8"/>
    <w:rsid w:val="00A61759"/>
    <w:rsid w:val="00A61D03"/>
    <w:rsid w:val="00A63889"/>
    <w:rsid w:val="00A6421B"/>
    <w:rsid w:val="00A64A23"/>
    <w:rsid w:val="00A65FF9"/>
    <w:rsid w:val="00A66A07"/>
    <w:rsid w:val="00A6710B"/>
    <w:rsid w:val="00A67D76"/>
    <w:rsid w:val="00A70E93"/>
    <w:rsid w:val="00A714CD"/>
    <w:rsid w:val="00A717E2"/>
    <w:rsid w:val="00A71A15"/>
    <w:rsid w:val="00A7276A"/>
    <w:rsid w:val="00A74DEC"/>
    <w:rsid w:val="00A75EFC"/>
    <w:rsid w:val="00A76831"/>
    <w:rsid w:val="00A76D10"/>
    <w:rsid w:val="00A76DC7"/>
    <w:rsid w:val="00A77D7A"/>
    <w:rsid w:val="00A825AE"/>
    <w:rsid w:val="00A84B60"/>
    <w:rsid w:val="00A84E68"/>
    <w:rsid w:val="00A84F62"/>
    <w:rsid w:val="00A84F6F"/>
    <w:rsid w:val="00A8630D"/>
    <w:rsid w:val="00A87B6C"/>
    <w:rsid w:val="00A908F9"/>
    <w:rsid w:val="00A913A2"/>
    <w:rsid w:val="00A91B1B"/>
    <w:rsid w:val="00A9351D"/>
    <w:rsid w:val="00A94681"/>
    <w:rsid w:val="00A94A09"/>
    <w:rsid w:val="00A967EE"/>
    <w:rsid w:val="00AA0B7E"/>
    <w:rsid w:val="00AA3017"/>
    <w:rsid w:val="00AA4277"/>
    <w:rsid w:val="00AA4C2B"/>
    <w:rsid w:val="00AA4D58"/>
    <w:rsid w:val="00AA5B94"/>
    <w:rsid w:val="00AA6265"/>
    <w:rsid w:val="00AA6DE4"/>
    <w:rsid w:val="00AA7E50"/>
    <w:rsid w:val="00AB1AD6"/>
    <w:rsid w:val="00AB2796"/>
    <w:rsid w:val="00AB4880"/>
    <w:rsid w:val="00AB5963"/>
    <w:rsid w:val="00AB762B"/>
    <w:rsid w:val="00AB78E0"/>
    <w:rsid w:val="00AC0810"/>
    <w:rsid w:val="00AC0B3D"/>
    <w:rsid w:val="00AC1ED1"/>
    <w:rsid w:val="00AC211D"/>
    <w:rsid w:val="00AC3701"/>
    <w:rsid w:val="00AC49D8"/>
    <w:rsid w:val="00AC523C"/>
    <w:rsid w:val="00AC567F"/>
    <w:rsid w:val="00AC5D37"/>
    <w:rsid w:val="00AD0B7E"/>
    <w:rsid w:val="00AD0CCB"/>
    <w:rsid w:val="00AD0D21"/>
    <w:rsid w:val="00AD142E"/>
    <w:rsid w:val="00AD24CE"/>
    <w:rsid w:val="00AD279E"/>
    <w:rsid w:val="00AD2B89"/>
    <w:rsid w:val="00AD3A3C"/>
    <w:rsid w:val="00AD5C2E"/>
    <w:rsid w:val="00AE11B7"/>
    <w:rsid w:val="00AE1D85"/>
    <w:rsid w:val="00AE4E07"/>
    <w:rsid w:val="00AE5230"/>
    <w:rsid w:val="00AE5901"/>
    <w:rsid w:val="00AE77B6"/>
    <w:rsid w:val="00AF0612"/>
    <w:rsid w:val="00AF0888"/>
    <w:rsid w:val="00AF16D2"/>
    <w:rsid w:val="00AF20A5"/>
    <w:rsid w:val="00AF2170"/>
    <w:rsid w:val="00AF2A5F"/>
    <w:rsid w:val="00AF2F4F"/>
    <w:rsid w:val="00AF36B0"/>
    <w:rsid w:val="00AF612D"/>
    <w:rsid w:val="00AF638B"/>
    <w:rsid w:val="00AF6CAF"/>
    <w:rsid w:val="00AF7691"/>
    <w:rsid w:val="00AF7F47"/>
    <w:rsid w:val="00B00A55"/>
    <w:rsid w:val="00B00F22"/>
    <w:rsid w:val="00B06444"/>
    <w:rsid w:val="00B0686B"/>
    <w:rsid w:val="00B06C4D"/>
    <w:rsid w:val="00B06CE6"/>
    <w:rsid w:val="00B06D4B"/>
    <w:rsid w:val="00B1151F"/>
    <w:rsid w:val="00B129DA"/>
    <w:rsid w:val="00B17FF8"/>
    <w:rsid w:val="00B20185"/>
    <w:rsid w:val="00B201ED"/>
    <w:rsid w:val="00B214B2"/>
    <w:rsid w:val="00B23134"/>
    <w:rsid w:val="00B24584"/>
    <w:rsid w:val="00B24C4A"/>
    <w:rsid w:val="00B25CD9"/>
    <w:rsid w:val="00B26CCF"/>
    <w:rsid w:val="00B30004"/>
    <w:rsid w:val="00B30353"/>
    <w:rsid w:val="00B30AA0"/>
    <w:rsid w:val="00B316B9"/>
    <w:rsid w:val="00B322C1"/>
    <w:rsid w:val="00B34C1E"/>
    <w:rsid w:val="00B35331"/>
    <w:rsid w:val="00B36397"/>
    <w:rsid w:val="00B36546"/>
    <w:rsid w:val="00B37B22"/>
    <w:rsid w:val="00B4221E"/>
    <w:rsid w:val="00B424BA"/>
    <w:rsid w:val="00B441E5"/>
    <w:rsid w:val="00B44906"/>
    <w:rsid w:val="00B46434"/>
    <w:rsid w:val="00B464BB"/>
    <w:rsid w:val="00B47068"/>
    <w:rsid w:val="00B51544"/>
    <w:rsid w:val="00B52A01"/>
    <w:rsid w:val="00B52E2F"/>
    <w:rsid w:val="00B531DD"/>
    <w:rsid w:val="00B54564"/>
    <w:rsid w:val="00B55390"/>
    <w:rsid w:val="00B55F0D"/>
    <w:rsid w:val="00B56A07"/>
    <w:rsid w:val="00B56D45"/>
    <w:rsid w:val="00B572E8"/>
    <w:rsid w:val="00B603B4"/>
    <w:rsid w:val="00B60860"/>
    <w:rsid w:val="00B62219"/>
    <w:rsid w:val="00B63309"/>
    <w:rsid w:val="00B64110"/>
    <w:rsid w:val="00B64502"/>
    <w:rsid w:val="00B645D2"/>
    <w:rsid w:val="00B67559"/>
    <w:rsid w:val="00B67E6B"/>
    <w:rsid w:val="00B717B0"/>
    <w:rsid w:val="00B71DC2"/>
    <w:rsid w:val="00B73546"/>
    <w:rsid w:val="00B74DD5"/>
    <w:rsid w:val="00B74F88"/>
    <w:rsid w:val="00B75649"/>
    <w:rsid w:val="00B76565"/>
    <w:rsid w:val="00B76A6E"/>
    <w:rsid w:val="00B802D8"/>
    <w:rsid w:val="00B84A83"/>
    <w:rsid w:val="00B87086"/>
    <w:rsid w:val="00B879C7"/>
    <w:rsid w:val="00B90D3F"/>
    <w:rsid w:val="00B90DA2"/>
    <w:rsid w:val="00B93893"/>
    <w:rsid w:val="00B95B2C"/>
    <w:rsid w:val="00B95E58"/>
    <w:rsid w:val="00B95F05"/>
    <w:rsid w:val="00B95FC2"/>
    <w:rsid w:val="00B95FF2"/>
    <w:rsid w:val="00B979F2"/>
    <w:rsid w:val="00B97DCD"/>
    <w:rsid w:val="00BA06AC"/>
    <w:rsid w:val="00BA1B1C"/>
    <w:rsid w:val="00BA2CB0"/>
    <w:rsid w:val="00BA32E8"/>
    <w:rsid w:val="00BA3472"/>
    <w:rsid w:val="00BA4F63"/>
    <w:rsid w:val="00BA537F"/>
    <w:rsid w:val="00BA5E9E"/>
    <w:rsid w:val="00BA770E"/>
    <w:rsid w:val="00BA77F1"/>
    <w:rsid w:val="00BA7A60"/>
    <w:rsid w:val="00BA7E0F"/>
    <w:rsid w:val="00BA7EDA"/>
    <w:rsid w:val="00BB0687"/>
    <w:rsid w:val="00BB11E1"/>
    <w:rsid w:val="00BB1594"/>
    <w:rsid w:val="00BB1670"/>
    <w:rsid w:val="00BB2BC0"/>
    <w:rsid w:val="00BB6748"/>
    <w:rsid w:val="00BB6DA1"/>
    <w:rsid w:val="00BB7ABD"/>
    <w:rsid w:val="00BB7EB7"/>
    <w:rsid w:val="00BC02E9"/>
    <w:rsid w:val="00BC0A80"/>
    <w:rsid w:val="00BC12A3"/>
    <w:rsid w:val="00BC2735"/>
    <w:rsid w:val="00BC3B53"/>
    <w:rsid w:val="00BC4A98"/>
    <w:rsid w:val="00BC4D64"/>
    <w:rsid w:val="00BC56F5"/>
    <w:rsid w:val="00BC679C"/>
    <w:rsid w:val="00BC7D8C"/>
    <w:rsid w:val="00BD0F12"/>
    <w:rsid w:val="00BD1454"/>
    <w:rsid w:val="00BD1F1E"/>
    <w:rsid w:val="00BD3ECF"/>
    <w:rsid w:val="00BD4929"/>
    <w:rsid w:val="00BD4B2A"/>
    <w:rsid w:val="00BD558D"/>
    <w:rsid w:val="00BD5DFC"/>
    <w:rsid w:val="00BD7AE6"/>
    <w:rsid w:val="00BE0B32"/>
    <w:rsid w:val="00BE2497"/>
    <w:rsid w:val="00BE458E"/>
    <w:rsid w:val="00BE5564"/>
    <w:rsid w:val="00BF1365"/>
    <w:rsid w:val="00BF2995"/>
    <w:rsid w:val="00BF2B59"/>
    <w:rsid w:val="00BF2C4F"/>
    <w:rsid w:val="00BF37A3"/>
    <w:rsid w:val="00BF3D01"/>
    <w:rsid w:val="00BF5B51"/>
    <w:rsid w:val="00C00B67"/>
    <w:rsid w:val="00C00F4E"/>
    <w:rsid w:val="00C01061"/>
    <w:rsid w:val="00C010DC"/>
    <w:rsid w:val="00C03139"/>
    <w:rsid w:val="00C05318"/>
    <w:rsid w:val="00C07075"/>
    <w:rsid w:val="00C07903"/>
    <w:rsid w:val="00C10869"/>
    <w:rsid w:val="00C117E2"/>
    <w:rsid w:val="00C12C00"/>
    <w:rsid w:val="00C12E90"/>
    <w:rsid w:val="00C12EB9"/>
    <w:rsid w:val="00C1320B"/>
    <w:rsid w:val="00C14560"/>
    <w:rsid w:val="00C14CC1"/>
    <w:rsid w:val="00C206F1"/>
    <w:rsid w:val="00C22FF6"/>
    <w:rsid w:val="00C26035"/>
    <w:rsid w:val="00C26079"/>
    <w:rsid w:val="00C27206"/>
    <w:rsid w:val="00C30AC1"/>
    <w:rsid w:val="00C31690"/>
    <w:rsid w:val="00C3189F"/>
    <w:rsid w:val="00C3256E"/>
    <w:rsid w:val="00C33340"/>
    <w:rsid w:val="00C3445F"/>
    <w:rsid w:val="00C354BB"/>
    <w:rsid w:val="00C35A91"/>
    <w:rsid w:val="00C361D2"/>
    <w:rsid w:val="00C371A6"/>
    <w:rsid w:val="00C40C60"/>
    <w:rsid w:val="00C42380"/>
    <w:rsid w:val="00C42F03"/>
    <w:rsid w:val="00C43022"/>
    <w:rsid w:val="00C447C0"/>
    <w:rsid w:val="00C458C9"/>
    <w:rsid w:val="00C46B84"/>
    <w:rsid w:val="00C50ECF"/>
    <w:rsid w:val="00C52281"/>
    <w:rsid w:val="00C52E42"/>
    <w:rsid w:val="00C53426"/>
    <w:rsid w:val="00C545D5"/>
    <w:rsid w:val="00C54FEA"/>
    <w:rsid w:val="00C55E5A"/>
    <w:rsid w:val="00C56BE8"/>
    <w:rsid w:val="00C60E49"/>
    <w:rsid w:val="00C62A0B"/>
    <w:rsid w:val="00C63108"/>
    <w:rsid w:val="00C638E2"/>
    <w:rsid w:val="00C6537C"/>
    <w:rsid w:val="00C6547B"/>
    <w:rsid w:val="00C65E59"/>
    <w:rsid w:val="00C666E4"/>
    <w:rsid w:val="00C731EB"/>
    <w:rsid w:val="00C755DC"/>
    <w:rsid w:val="00C770BC"/>
    <w:rsid w:val="00C812F7"/>
    <w:rsid w:val="00C82D58"/>
    <w:rsid w:val="00C833B6"/>
    <w:rsid w:val="00C849EE"/>
    <w:rsid w:val="00C85838"/>
    <w:rsid w:val="00C876B7"/>
    <w:rsid w:val="00C90846"/>
    <w:rsid w:val="00C91B2C"/>
    <w:rsid w:val="00C92CA5"/>
    <w:rsid w:val="00C93B39"/>
    <w:rsid w:val="00C95961"/>
    <w:rsid w:val="00C95B8A"/>
    <w:rsid w:val="00C9678A"/>
    <w:rsid w:val="00CA0A69"/>
    <w:rsid w:val="00CA0E76"/>
    <w:rsid w:val="00CA1267"/>
    <w:rsid w:val="00CA22DA"/>
    <w:rsid w:val="00CA2B89"/>
    <w:rsid w:val="00CA40F8"/>
    <w:rsid w:val="00CA473C"/>
    <w:rsid w:val="00CA47D3"/>
    <w:rsid w:val="00CA52E3"/>
    <w:rsid w:val="00CA53DE"/>
    <w:rsid w:val="00CA58C3"/>
    <w:rsid w:val="00CA5BC9"/>
    <w:rsid w:val="00CA6A55"/>
    <w:rsid w:val="00CA6DEF"/>
    <w:rsid w:val="00CB063E"/>
    <w:rsid w:val="00CB1102"/>
    <w:rsid w:val="00CB156F"/>
    <w:rsid w:val="00CB1BBD"/>
    <w:rsid w:val="00CB3777"/>
    <w:rsid w:val="00CB505B"/>
    <w:rsid w:val="00CB5A73"/>
    <w:rsid w:val="00CC0BB4"/>
    <w:rsid w:val="00CC0EE2"/>
    <w:rsid w:val="00CC12DF"/>
    <w:rsid w:val="00CC2A71"/>
    <w:rsid w:val="00CC4D8D"/>
    <w:rsid w:val="00CC63E0"/>
    <w:rsid w:val="00CC6FDD"/>
    <w:rsid w:val="00CD1689"/>
    <w:rsid w:val="00CD2492"/>
    <w:rsid w:val="00CD3F08"/>
    <w:rsid w:val="00CD47BA"/>
    <w:rsid w:val="00CD5427"/>
    <w:rsid w:val="00CD604A"/>
    <w:rsid w:val="00CD6791"/>
    <w:rsid w:val="00CD7B6F"/>
    <w:rsid w:val="00CE15C4"/>
    <w:rsid w:val="00CE2E6A"/>
    <w:rsid w:val="00CE2EA9"/>
    <w:rsid w:val="00CE41DA"/>
    <w:rsid w:val="00CE6ABC"/>
    <w:rsid w:val="00CE6D64"/>
    <w:rsid w:val="00CE74D9"/>
    <w:rsid w:val="00CF0171"/>
    <w:rsid w:val="00CF053F"/>
    <w:rsid w:val="00CF0A55"/>
    <w:rsid w:val="00CF301C"/>
    <w:rsid w:val="00CF4586"/>
    <w:rsid w:val="00CF77D8"/>
    <w:rsid w:val="00CF7C8B"/>
    <w:rsid w:val="00D00180"/>
    <w:rsid w:val="00D00793"/>
    <w:rsid w:val="00D01D15"/>
    <w:rsid w:val="00D031D6"/>
    <w:rsid w:val="00D038F0"/>
    <w:rsid w:val="00D03A01"/>
    <w:rsid w:val="00D04083"/>
    <w:rsid w:val="00D05F6D"/>
    <w:rsid w:val="00D06E49"/>
    <w:rsid w:val="00D078E1"/>
    <w:rsid w:val="00D07F90"/>
    <w:rsid w:val="00D102D2"/>
    <w:rsid w:val="00D10AEF"/>
    <w:rsid w:val="00D10DAA"/>
    <w:rsid w:val="00D12A7F"/>
    <w:rsid w:val="00D131D6"/>
    <w:rsid w:val="00D135BA"/>
    <w:rsid w:val="00D1717F"/>
    <w:rsid w:val="00D17A1D"/>
    <w:rsid w:val="00D20C77"/>
    <w:rsid w:val="00D21655"/>
    <w:rsid w:val="00D218AC"/>
    <w:rsid w:val="00D221A6"/>
    <w:rsid w:val="00D232A2"/>
    <w:rsid w:val="00D23522"/>
    <w:rsid w:val="00D25C90"/>
    <w:rsid w:val="00D25F5C"/>
    <w:rsid w:val="00D26196"/>
    <w:rsid w:val="00D279AE"/>
    <w:rsid w:val="00D30900"/>
    <w:rsid w:val="00D30F08"/>
    <w:rsid w:val="00D311EA"/>
    <w:rsid w:val="00D31C61"/>
    <w:rsid w:val="00D323BE"/>
    <w:rsid w:val="00D32F53"/>
    <w:rsid w:val="00D32F98"/>
    <w:rsid w:val="00D358D8"/>
    <w:rsid w:val="00D365C5"/>
    <w:rsid w:val="00D36C95"/>
    <w:rsid w:val="00D405AB"/>
    <w:rsid w:val="00D41280"/>
    <w:rsid w:val="00D43528"/>
    <w:rsid w:val="00D45EB0"/>
    <w:rsid w:val="00D46125"/>
    <w:rsid w:val="00D52F46"/>
    <w:rsid w:val="00D5326B"/>
    <w:rsid w:val="00D5423B"/>
    <w:rsid w:val="00D54F4E"/>
    <w:rsid w:val="00D55865"/>
    <w:rsid w:val="00D56274"/>
    <w:rsid w:val="00D563E4"/>
    <w:rsid w:val="00D60BA4"/>
    <w:rsid w:val="00D60D23"/>
    <w:rsid w:val="00D61877"/>
    <w:rsid w:val="00D61E03"/>
    <w:rsid w:val="00D62F23"/>
    <w:rsid w:val="00D62FBC"/>
    <w:rsid w:val="00D6528F"/>
    <w:rsid w:val="00D66E67"/>
    <w:rsid w:val="00D67A7A"/>
    <w:rsid w:val="00D67F8F"/>
    <w:rsid w:val="00D711A5"/>
    <w:rsid w:val="00D713FF"/>
    <w:rsid w:val="00D72421"/>
    <w:rsid w:val="00D72EB0"/>
    <w:rsid w:val="00D734E5"/>
    <w:rsid w:val="00D73F97"/>
    <w:rsid w:val="00D745A7"/>
    <w:rsid w:val="00D74D0A"/>
    <w:rsid w:val="00D76047"/>
    <w:rsid w:val="00D767FA"/>
    <w:rsid w:val="00D80662"/>
    <w:rsid w:val="00D80CCE"/>
    <w:rsid w:val="00D81D90"/>
    <w:rsid w:val="00D82202"/>
    <w:rsid w:val="00D82374"/>
    <w:rsid w:val="00D83104"/>
    <w:rsid w:val="00D83137"/>
    <w:rsid w:val="00D85213"/>
    <w:rsid w:val="00D85A93"/>
    <w:rsid w:val="00D878E1"/>
    <w:rsid w:val="00D87FF1"/>
    <w:rsid w:val="00D92130"/>
    <w:rsid w:val="00D92483"/>
    <w:rsid w:val="00D925B2"/>
    <w:rsid w:val="00D92633"/>
    <w:rsid w:val="00D937E1"/>
    <w:rsid w:val="00D93CE9"/>
    <w:rsid w:val="00D94DB4"/>
    <w:rsid w:val="00D951CB"/>
    <w:rsid w:val="00D96BE7"/>
    <w:rsid w:val="00DA11ED"/>
    <w:rsid w:val="00DA2288"/>
    <w:rsid w:val="00DA243E"/>
    <w:rsid w:val="00DA298C"/>
    <w:rsid w:val="00DA7C1E"/>
    <w:rsid w:val="00DB030C"/>
    <w:rsid w:val="00DB2280"/>
    <w:rsid w:val="00DB403F"/>
    <w:rsid w:val="00DB4A3A"/>
    <w:rsid w:val="00DB4FA7"/>
    <w:rsid w:val="00DB5BFD"/>
    <w:rsid w:val="00DB7D94"/>
    <w:rsid w:val="00DC1AA9"/>
    <w:rsid w:val="00DC2000"/>
    <w:rsid w:val="00DC39FF"/>
    <w:rsid w:val="00DC5D7B"/>
    <w:rsid w:val="00DC6E11"/>
    <w:rsid w:val="00DD180A"/>
    <w:rsid w:val="00DD1B6B"/>
    <w:rsid w:val="00DD1B91"/>
    <w:rsid w:val="00DD2BB3"/>
    <w:rsid w:val="00DD368B"/>
    <w:rsid w:val="00DD6E29"/>
    <w:rsid w:val="00DE04A2"/>
    <w:rsid w:val="00DE0771"/>
    <w:rsid w:val="00DE0CDB"/>
    <w:rsid w:val="00DE1B62"/>
    <w:rsid w:val="00DE2DA8"/>
    <w:rsid w:val="00DE343C"/>
    <w:rsid w:val="00DE575C"/>
    <w:rsid w:val="00DE578A"/>
    <w:rsid w:val="00DE5D8B"/>
    <w:rsid w:val="00DE6AC5"/>
    <w:rsid w:val="00DE6E7E"/>
    <w:rsid w:val="00DE7DDA"/>
    <w:rsid w:val="00DF1941"/>
    <w:rsid w:val="00DF1D1E"/>
    <w:rsid w:val="00DF2583"/>
    <w:rsid w:val="00DF54D9"/>
    <w:rsid w:val="00DF57D5"/>
    <w:rsid w:val="00DF6973"/>
    <w:rsid w:val="00DF79E9"/>
    <w:rsid w:val="00E002CA"/>
    <w:rsid w:val="00E00687"/>
    <w:rsid w:val="00E008CB"/>
    <w:rsid w:val="00E021C8"/>
    <w:rsid w:val="00E03D32"/>
    <w:rsid w:val="00E03E8B"/>
    <w:rsid w:val="00E04465"/>
    <w:rsid w:val="00E04E34"/>
    <w:rsid w:val="00E05FDB"/>
    <w:rsid w:val="00E06931"/>
    <w:rsid w:val="00E10991"/>
    <w:rsid w:val="00E10DC6"/>
    <w:rsid w:val="00E11F8E"/>
    <w:rsid w:val="00E12B7F"/>
    <w:rsid w:val="00E145EA"/>
    <w:rsid w:val="00E15280"/>
    <w:rsid w:val="00E159D6"/>
    <w:rsid w:val="00E16467"/>
    <w:rsid w:val="00E17944"/>
    <w:rsid w:val="00E17BC5"/>
    <w:rsid w:val="00E20A86"/>
    <w:rsid w:val="00E21D6F"/>
    <w:rsid w:val="00E22722"/>
    <w:rsid w:val="00E228E1"/>
    <w:rsid w:val="00E22A81"/>
    <w:rsid w:val="00E2347F"/>
    <w:rsid w:val="00E257F1"/>
    <w:rsid w:val="00E276B2"/>
    <w:rsid w:val="00E2790D"/>
    <w:rsid w:val="00E31B8E"/>
    <w:rsid w:val="00E33FD4"/>
    <w:rsid w:val="00E34ED6"/>
    <w:rsid w:val="00E3596E"/>
    <w:rsid w:val="00E364EF"/>
    <w:rsid w:val="00E36F16"/>
    <w:rsid w:val="00E4094E"/>
    <w:rsid w:val="00E41DA7"/>
    <w:rsid w:val="00E426A4"/>
    <w:rsid w:val="00E4287B"/>
    <w:rsid w:val="00E42D22"/>
    <w:rsid w:val="00E43463"/>
    <w:rsid w:val="00E4573C"/>
    <w:rsid w:val="00E458E2"/>
    <w:rsid w:val="00E45F37"/>
    <w:rsid w:val="00E466F2"/>
    <w:rsid w:val="00E50A17"/>
    <w:rsid w:val="00E50BD4"/>
    <w:rsid w:val="00E51595"/>
    <w:rsid w:val="00E51959"/>
    <w:rsid w:val="00E527D2"/>
    <w:rsid w:val="00E5578A"/>
    <w:rsid w:val="00E56173"/>
    <w:rsid w:val="00E56899"/>
    <w:rsid w:val="00E56ADD"/>
    <w:rsid w:val="00E575BA"/>
    <w:rsid w:val="00E5788D"/>
    <w:rsid w:val="00E57CC8"/>
    <w:rsid w:val="00E600B7"/>
    <w:rsid w:val="00E62286"/>
    <w:rsid w:val="00E629BC"/>
    <w:rsid w:val="00E634B6"/>
    <w:rsid w:val="00E634E3"/>
    <w:rsid w:val="00E645B1"/>
    <w:rsid w:val="00E6586E"/>
    <w:rsid w:val="00E659A6"/>
    <w:rsid w:val="00E6651C"/>
    <w:rsid w:val="00E724F5"/>
    <w:rsid w:val="00E73887"/>
    <w:rsid w:val="00E75C19"/>
    <w:rsid w:val="00E75D2C"/>
    <w:rsid w:val="00E80F31"/>
    <w:rsid w:val="00E82965"/>
    <w:rsid w:val="00E84222"/>
    <w:rsid w:val="00E85102"/>
    <w:rsid w:val="00E8592D"/>
    <w:rsid w:val="00E86633"/>
    <w:rsid w:val="00E8760E"/>
    <w:rsid w:val="00E876A6"/>
    <w:rsid w:val="00E90C73"/>
    <w:rsid w:val="00E935FE"/>
    <w:rsid w:val="00E942F5"/>
    <w:rsid w:val="00E9497F"/>
    <w:rsid w:val="00E96D0E"/>
    <w:rsid w:val="00EA0AA8"/>
    <w:rsid w:val="00EA14C5"/>
    <w:rsid w:val="00EA1765"/>
    <w:rsid w:val="00EA26EF"/>
    <w:rsid w:val="00EA3241"/>
    <w:rsid w:val="00EA3B5F"/>
    <w:rsid w:val="00EA5786"/>
    <w:rsid w:val="00EA5F4C"/>
    <w:rsid w:val="00EA615D"/>
    <w:rsid w:val="00EA75C1"/>
    <w:rsid w:val="00EA7B10"/>
    <w:rsid w:val="00EB141A"/>
    <w:rsid w:val="00EB29BF"/>
    <w:rsid w:val="00EB2DEB"/>
    <w:rsid w:val="00EB40BD"/>
    <w:rsid w:val="00EB6D1A"/>
    <w:rsid w:val="00EB7038"/>
    <w:rsid w:val="00EB7550"/>
    <w:rsid w:val="00EB7C2E"/>
    <w:rsid w:val="00EC0F04"/>
    <w:rsid w:val="00EC1309"/>
    <w:rsid w:val="00EC205E"/>
    <w:rsid w:val="00EC237D"/>
    <w:rsid w:val="00EC3951"/>
    <w:rsid w:val="00EC5F70"/>
    <w:rsid w:val="00EC6AAB"/>
    <w:rsid w:val="00EC6F2A"/>
    <w:rsid w:val="00ED0AAF"/>
    <w:rsid w:val="00ED2F32"/>
    <w:rsid w:val="00ED4248"/>
    <w:rsid w:val="00ED60CA"/>
    <w:rsid w:val="00ED64EF"/>
    <w:rsid w:val="00ED6CDA"/>
    <w:rsid w:val="00ED7B99"/>
    <w:rsid w:val="00EE0CAE"/>
    <w:rsid w:val="00EE0EC3"/>
    <w:rsid w:val="00EE1819"/>
    <w:rsid w:val="00EE1A75"/>
    <w:rsid w:val="00EE1B9E"/>
    <w:rsid w:val="00EE1DC0"/>
    <w:rsid w:val="00EE4A1F"/>
    <w:rsid w:val="00EE53EA"/>
    <w:rsid w:val="00EF009A"/>
    <w:rsid w:val="00EF04DF"/>
    <w:rsid w:val="00EF067B"/>
    <w:rsid w:val="00EF0D0D"/>
    <w:rsid w:val="00EF0ED5"/>
    <w:rsid w:val="00EF1B5A"/>
    <w:rsid w:val="00EF2CCA"/>
    <w:rsid w:val="00EF4239"/>
    <w:rsid w:val="00EF510E"/>
    <w:rsid w:val="00EF61AC"/>
    <w:rsid w:val="00EF791D"/>
    <w:rsid w:val="00EF7DE9"/>
    <w:rsid w:val="00F01325"/>
    <w:rsid w:val="00F0172C"/>
    <w:rsid w:val="00F017B1"/>
    <w:rsid w:val="00F01BA1"/>
    <w:rsid w:val="00F0248F"/>
    <w:rsid w:val="00F036A8"/>
    <w:rsid w:val="00F03E1B"/>
    <w:rsid w:val="00F04D64"/>
    <w:rsid w:val="00F057E0"/>
    <w:rsid w:val="00F10ADF"/>
    <w:rsid w:val="00F13F47"/>
    <w:rsid w:val="00F16EBD"/>
    <w:rsid w:val="00F214D5"/>
    <w:rsid w:val="00F229EF"/>
    <w:rsid w:val="00F22C62"/>
    <w:rsid w:val="00F24110"/>
    <w:rsid w:val="00F24A31"/>
    <w:rsid w:val="00F24E4E"/>
    <w:rsid w:val="00F25B7F"/>
    <w:rsid w:val="00F26059"/>
    <w:rsid w:val="00F2608D"/>
    <w:rsid w:val="00F26462"/>
    <w:rsid w:val="00F27D64"/>
    <w:rsid w:val="00F313B0"/>
    <w:rsid w:val="00F33E73"/>
    <w:rsid w:val="00F343DA"/>
    <w:rsid w:val="00F359F8"/>
    <w:rsid w:val="00F3652C"/>
    <w:rsid w:val="00F366F4"/>
    <w:rsid w:val="00F36803"/>
    <w:rsid w:val="00F376A8"/>
    <w:rsid w:val="00F40BA0"/>
    <w:rsid w:val="00F43D1A"/>
    <w:rsid w:val="00F43E8A"/>
    <w:rsid w:val="00F45528"/>
    <w:rsid w:val="00F46AA1"/>
    <w:rsid w:val="00F47235"/>
    <w:rsid w:val="00F47A9A"/>
    <w:rsid w:val="00F50554"/>
    <w:rsid w:val="00F510B8"/>
    <w:rsid w:val="00F51771"/>
    <w:rsid w:val="00F51860"/>
    <w:rsid w:val="00F53668"/>
    <w:rsid w:val="00F53F91"/>
    <w:rsid w:val="00F5401D"/>
    <w:rsid w:val="00F56255"/>
    <w:rsid w:val="00F57321"/>
    <w:rsid w:val="00F57CD4"/>
    <w:rsid w:val="00F613E9"/>
    <w:rsid w:val="00F6168C"/>
    <w:rsid w:val="00F61A72"/>
    <w:rsid w:val="00F62D1F"/>
    <w:rsid w:val="00F63462"/>
    <w:rsid w:val="00F6371E"/>
    <w:rsid w:val="00F63E0E"/>
    <w:rsid w:val="00F65951"/>
    <w:rsid w:val="00F65DE4"/>
    <w:rsid w:val="00F66F13"/>
    <w:rsid w:val="00F67C11"/>
    <w:rsid w:val="00F72637"/>
    <w:rsid w:val="00F73DEC"/>
    <w:rsid w:val="00F74073"/>
    <w:rsid w:val="00F74AC4"/>
    <w:rsid w:val="00F74D7D"/>
    <w:rsid w:val="00F75F32"/>
    <w:rsid w:val="00F7614E"/>
    <w:rsid w:val="00F77453"/>
    <w:rsid w:val="00F77B9B"/>
    <w:rsid w:val="00F80F82"/>
    <w:rsid w:val="00F81841"/>
    <w:rsid w:val="00F81A04"/>
    <w:rsid w:val="00F8408F"/>
    <w:rsid w:val="00F84116"/>
    <w:rsid w:val="00F8524E"/>
    <w:rsid w:val="00F861DC"/>
    <w:rsid w:val="00F87433"/>
    <w:rsid w:val="00F8778E"/>
    <w:rsid w:val="00F87D67"/>
    <w:rsid w:val="00F87D80"/>
    <w:rsid w:val="00F90E04"/>
    <w:rsid w:val="00F9189A"/>
    <w:rsid w:val="00F928C5"/>
    <w:rsid w:val="00F93389"/>
    <w:rsid w:val="00F9677F"/>
    <w:rsid w:val="00F96DC1"/>
    <w:rsid w:val="00F96E34"/>
    <w:rsid w:val="00F970A1"/>
    <w:rsid w:val="00F974BE"/>
    <w:rsid w:val="00FA0572"/>
    <w:rsid w:val="00FA1759"/>
    <w:rsid w:val="00FA277B"/>
    <w:rsid w:val="00FA6CAE"/>
    <w:rsid w:val="00FB06ED"/>
    <w:rsid w:val="00FB0F33"/>
    <w:rsid w:val="00FB76DB"/>
    <w:rsid w:val="00FC084D"/>
    <w:rsid w:val="00FC36AB"/>
    <w:rsid w:val="00FC3F21"/>
    <w:rsid w:val="00FC4D16"/>
    <w:rsid w:val="00FC5A5F"/>
    <w:rsid w:val="00FC6AB4"/>
    <w:rsid w:val="00FC6EC6"/>
    <w:rsid w:val="00FD09E3"/>
    <w:rsid w:val="00FD1727"/>
    <w:rsid w:val="00FD1D6B"/>
    <w:rsid w:val="00FD2798"/>
    <w:rsid w:val="00FD2A72"/>
    <w:rsid w:val="00FD5819"/>
    <w:rsid w:val="00FD6B44"/>
    <w:rsid w:val="00FE15EB"/>
    <w:rsid w:val="00FE4F08"/>
    <w:rsid w:val="00FE5262"/>
    <w:rsid w:val="00FE5C0A"/>
    <w:rsid w:val="00FE61AF"/>
    <w:rsid w:val="00FE64E4"/>
    <w:rsid w:val="00FF0BC7"/>
    <w:rsid w:val="00FF0D35"/>
    <w:rsid w:val="00FF0DF2"/>
    <w:rsid w:val="00FF3A5A"/>
    <w:rsid w:val="00FF3D58"/>
    <w:rsid w:val="00FF4929"/>
    <w:rsid w:val="00FF4E35"/>
    <w:rsid w:val="00FF5128"/>
    <w:rsid w:val="00FF6ED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fill="f" fillcolor="white" stroke="f">
      <v:fill color="white" on="f"/>
      <v:stroke on="f"/>
    </o:shapedefaults>
    <o:shapelayout v:ext="edit">
      <o:idmap v:ext="edit" data="1"/>
    </o:shapelayout>
  </w:shapeDefaults>
  <w:decimalSymbol w:val=","/>
  <w:listSeparator w:val=";"/>
  <w14:docId w14:val="6613E931"/>
  <w15:docId w15:val="{6A2AA5D0-ADAF-4C37-857B-B8DD2034D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554"/>
    <w:pPr>
      <w:spacing w:line="240" w:lineRule="atLeast"/>
    </w:pPr>
    <w:rPr>
      <w:rFonts w:ascii="Verdana" w:hAnsi="Verdana"/>
      <w:sz w:val="18"/>
      <w:szCs w:val="24"/>
      <w:lang w:val="nl-NL" w:eastAsia="nl-NL"/>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uiPriority w:val="99"/>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EE0CAE"/>
    <w:rPr>
      <w:b/>
      <w:bCs/>
    </w:rPr>
  </w:style>
  <w:style w:type="character" w:customStyle="1" w:styleId="CommentTextChar">
    <w:name w:val="Comment Text Char"/>
    <w:link w:val="CommentText"/>
    <w:semiHidden/>
    <w:rsid w:val="00EE0CAE"/>
    <w:rPr>
      <w:rFonts w:ascii="Verdana" w:hAnsi="Verdana"/>
    </w:rPr>
  </w:style>
  <w:style w:type="character" w:customStyle="1" w:styleId="CommentSubjectChar">
    <w:name w:val="Comment Subject Char"/>
    <w:link w:val="CommentSubject"/>
    <w:rsid w:val="00EE0CAE"/>
    <w:rPr>
      <w:rFonts w:ascii="Verdana" w:hAnsi="Verdana"/>
      <w:b/>
      <w:bCs/>
    </w:rPr>
  </w:style>
  <w:style w:type="paragraph" w:styleId="Revision">
    <w:name w:val="Revision"/>
    <w:hidden/>
    <w:uiPriority w:val="99"/>
    <w:semiHidden/>
    <w:rsid w:val="008A646F"/>
    <w:rPr>
      <w:rFonts w:ascii="Verdana" w:hAnsi="Verdana"/>
      <w:sz w:val="18"/>
      <w:szCs w:val="24"/>
      <w:lang w:val="nl-NL" w:eastAsia="nl-NL"/>
    </w:rPr>
  </w:style>
  <w:style w:type="paragraph" w:styleId="ListParagraph">
    <w:name w:val="List Paragraph"/>
    <w:basedOn w:val="Normal"/>
    <w:uiPriority w:val="34"/>
    <w:qFormat/>
    <w:rsid w:val="009E5CE3"/>
    <w:pPr>
      <w:ind w:left="720"/>
      <w:contextualSpacing/>
    </w:pPr>
  </w:style>
  <w:style w:type="paragraph" w:customStyle="1" w:styleId="Default">
    <w:name w:val="Default"/>
    <w:rsid w:val="00C770BC"/>
    <w:pPr>
      <w:autoSpaceDE w:val="0"/>
      <w:autoSpaceDN w:val="0"/>
      <w:adjustRightInd w:val="0"/>
    </w:pPr>
    <w:rPr>
      <w:color w:val="000000"/>
      <w:sz w:val="24"/>
      <w:szCs w:val="24"/>
      <w:lang w:val="nl-NL"/>
    </w:rPr>
  </w:style>
  <w:style w:type="character" w:styleId="Strong">
    <w:name w:val="Strong"/>
    <w:basedOn w:val="DefaultParagraphFont"/>
    <w:uiPriority w:val="22"/>
    <w:qFormat/>
    <w:rsid w:val="00E600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3484">
      <w:bodyDiv w:val="1"/>
      <w:marLeft w:val="0"/>
      <w:marRight w:val="0"/>
      <w:marTop w:val="0"/>
      <w:marBottom w:val="0"/>
      <w:divBdr>
        <w:top w:val="none" w:sz="0" w:space="0" w:color="auto"/>
        <w:left w:val="none" w:sz="0" w:space="0" w:color="auto"/>
        <w:bottom w:val="none" w:sz="0" w:space="0" w:color="auto"/>
        <w:right w:val="none" w:sz="0" w:space="0" w:color="auto"/>
      </w:divBdr>
      <w:divsChild>
        <w:div w:id="654262016">
          <w:marLeft w:val="0"/>
          <w:marRight w:val="0"/>
          <w:marTop w:val="0"/>
          <w:marBottom w:val="0"/>
          <w:divBdr>
            <w:top w:val="none" w:sz="0" w:space="0" w:color="auto"/>
            <w:left w:val="none" w:sz="0" w:space="0" w:color="auto"/>
            <w:bottom w:val="none" w:sz="0" w:space="0" w:color="auto"/>
            <w:right w:val="none" w:sz="0" w:space="0" w:color="auto"/>
          </w:divBdr>
          <w:divsChild>
            <w:div w:id="1021662829">
              <w:marLeft w:val="0"/>
              <w:marRight w:val="0"/>
              <w:marTop w:val="0"/>
              <w:marBottom w:val="0"/>
              <w:divBdr>
                <w:top w:val="none" w:sz="0" w:space="0" w:color="auto"/>
                <w:left w:val="none" w:sz="0" w:space="0" w:color="auto"/>
                <w:bottom w:val="none" w:sz="0" w:space="0" w:color="auto"/>
                <w:right w:val="none" w:sz="0" w:space="0" w:color="auto"/>
              </w:divBdr>
              <w:divsChild>
                <w:div w:id="260450275">
                  <w:marLeft w:val="0"/>
                  <w:marRight w:val="0"/>
                  <w:marTop w:val="0"/>
                  <w:marBottom w:val="0"/>
                  <w:divBdr>
                    <w:top w:val="none" w:sz="0" w:space="0" w:color="auto"/>
                    <w:left w:val="none" w:sz="0" w:space="0" w:color="auto"/>
                    <w:bottom w:val="none" w:sz="0" w:space="0" w:color="auto"/>
                    <w:right w:val="none" w:sz="0" w:space="0" w:color="auto"/>
                  </w:divBdr>
                  <w:divsChild>
                    <w:div w:id="35282671">
                      <w:marLeft w:val="0"/>
                      <w:marRight w:val="0"/>
                      <w:marTop w:val="0"/>
                      <w:marBottom w:val="0"/>
                      <w:divBdr>
                        <w:top w:val="none" w:sz="0" w:space="0" w:color="auto"/>
                        <w:left w:val="none" w:sz="0" w:space="0" w:color="auto"/>
                        <w:bottom w:val="none" w:sz="0" w:space="0" w:color="auto"/>
                        <w:right w:val="none" w:sz="0" w:space="0" w:color="auto"/>
                      </w:divBdr>
                      <w:divsChild>
                        <w:div w:id="51904653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6958504">
      <w:bodyDiv w:val="1"/>
      <w:marLeft w:val="0"/>
      <w:marRight w:val="0"/>
      <w:marTop w:val="0"/>
      <w:marBottom w:val="0"/>
      <w:divBdr>
        <w:top w:val="none" w:sz="0" w:space="0" w:color="auto"/>
        <w:left w:val="none" w:sz="0" w:space="0" w:color="auto"/>
        <w:bottom w:val="none" w:sz="0" w:space="0" w:color="auto"/>
        <w:right w:val="none" w:sz="0" w:space="0" w:color="auto"/>
      </w:divBdr>
    </w:div>
    <w:div w:id="407968110">
      <w:bodyDiv w:val="1"/>
      <w:marLeft w:val="0"/>
      <w:marRight w:val="0"/>
      <w:marTop w:val="0"/>
      <w:marBottom w:val="0"/>
      <w:divBdr>
        <w:top w:val="none" w:sz="0" w:space="0" w:color="auto"/>
        <w:left w:val="none" w:sz="0" w:space="0" w:color="auto"/>
        <w:bottom w:val="none" w:sz="0" w:space="0" w:color="auto"/>
        <w:right w:val="none" w:sz="0" w:space="0" w:color="auto"/>
      </w:divBdr>
      <w:divsChild>
        <w:div w:id="1046955747">
          <w:marLeft w:val="0"/>
          <w:marRight w:val="0"/>
          <w:marTop w:val="0"/>
          <w:marBottom w:val="0"/>
          <w:divBdr>
            <w:top w:val="none" w:sz="0" w:space="0" w:color="auto"/>
            <w:left w:val="none" w:sz="0" w:space="0" w:color="auto"/>
            <w:bottom w:val="none" w:sz="0" w:space="0" w:color="auto"/>
            <w:right w:val="none" w:sz="0" w:space="0" w:color="auto"/>
          </w:divBdr>
          <w:divsChild>
            <w:div w:id="856771394">
              <w:marLeft w:val="0"/>
              <w:marRight w:val="0"/>
              <w:marTop w:val="0"/>
              <w:marBottom w:val="0"/>
              <w:divBdr>
                <w:top w:val="none" w:sz="0" w:space="0" w:color="auto"/>
                <w:left w:val="none" w:sz="0" w:space="0" w:color="auto"/>
                <w:bottom w:val="none" w:sz="0" w:space="0" w:color="auto"/>
                <w:right w:val="none" w:sz="0" w:space="0" w:color="auto"/>
              </w:divBdr>
              <w:divsChild>
                <w:div w:id="87431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310871">
      <w:bodyDiv w:val="1"/>
      <w:marLeft w:val="0"/>
      <w:marRight w:val="0"/>
      <w:marTop w:val="0"/>
      <w:marBottom w:val="0"/>
      <w:divBdr>
        <w:top w:val="none" w:sz="0" w:space="0" w:color="auto"/>
        <w:left w:val="none" w:sz="0" w:space="0" w:color="auto"/>
        <w:bottom w:val="none" w:sz="0" w:space="0" w:color="auto"/>
        <w:right w:val="none" w:sz="0" w:space="0" w:color="auto"/>
      </w:divBdr>
      <w:divsChild>
        <w:div w:id="226259133">
          <w:marLeft w:val="0"/>
          <w:marRight w:val="0"/>
          <w:marTop w:val="0"/>
          <w:marBottom w:val="0"/>
          <w:divBdr>
            <w:top w:val="none" w:sz="0" w:space="0" w:color="auto"/>
            <w:left w:val="none" w:sz="0" w:space="0" w:color="auto"/>
            <w:bottom w:val="none" w:sz="0" w:space="0" w:color="auto"/>
            <w:right w:val="none" w:sz="0" w:space="0" w:color="auto"/>
          </w:divBdr>
          <w:divsChild>
            <w:div w:id="1165779411">
              <w:marLeft w:val="0"/>
              <w:marRight w:val="0"/>
              <w:marTop w:val="0"/>
              <w:marBottom w:val="0"/>
              <w:divBdr>
                <w:top w:val="none" w:sz="0" w:space="0" w:color="auto"/>
                <w:left w:val="none" w:sz="0" w:space="0" w:color="auto"/>
                <w:bottom w:val="none" w:sz="0" w:space="0" w:color="auto"/>
                <w:right w:val="none" w:sz="0" w:space="0" w:color="auto"/>
              </w:divBdr>
              <w:divsChild>
                <w:div w:id="1737387438">
                  <w:marLeft w:val="0"/>
                  <w:marRight w:val="0"/>
                  <w:marTop w:val="0"/>
                  <w:marBottom w:val="0"/>
                  <w:divBdr>
                    <w:top w:val="none" w:sz="0" w:space="0" w:color="auto"/>
                    <w:left w:val="none" w:sz="0" w:space="0" w:color="auto"/>
                    <w:bottom w:val="none" w:sz="0" w:space="0" w:color="auto"/>
                    <w:right w:val="none" w:sz="0" w:space="0" w:color="auto"/>
                  </w:divBdr>
                  <w:divsChild>
                    <w:div w:id="41428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7230346">
      <w:bodyDiv w:val="1"/>
      <w:marLeft w:val="0"/>
      <w:marRight w:val="0"/>
      <w:marTop w:val="0"/>
      <w:marBottom w:val="0"/>
      <w:divBdr>
        <w:top w:val="none" w:sz="0" w:space="0" w:color="auto"/>
        <w:left w:val="none" w:sz="0" w:space="0" w:color="auto"/>
        <w:bottom w:val="none" w:sz="0" w:space="0" w:color="auto"/>
        <w:right w:val="none" w:sz="0" w:space="0" w:color="auto"/>
      </w:divBdr>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749691959">
      <w:bodyDiv w:val="1"/>
      <w:marLeft w:val="0"/>
      <w:marRight w:val="0"/>
      <w:marTop w:val="0"/>
      <w:marBottom w:val="0"/>
      <w:divBdr>
        <w:top w:val="none" w:sz="0" w:space="0" w:color="auto"/>
        <w:left w:val="none" w:sz="0" w:space="0" w:color="auto"/>
        <w:bottom w:val="none" w:sz="0" w:space="0" w:color="auto"/>
        <w:right w:val="none" w:sz="0" w:space="0" w:color="auto"/>
      </w:divBdr>
    </w:div>
    <w:div w:id="1365982277">
      <w:bodyDiv w:val="1"/>
      <w:marLeft w:val="0"/>
      <w:marRight w:val="0"/>
      <w:marTop w:val="0"/>
      <w:marBottom w:val="0"/>
      <w:divBdr>
        <w:top w:val="none" w:sz="0" w:space="0" w:color="auto"/>
        <w:left w:val="none" w:sz="0" w:space="0" w:color="auto"/>
        <w:bottom w:val="none" w:sz="0" w:space="0" w:color="auto"/>
        <w:right w:val="none" w:sz="0" w:space="0" w:color="auto"/>
      </w:divBdr>
    </w:div>
    <w:div w:id="1464422565">
      <w:bodyDiv w:val="1"/>
      <w:marLeft w:val="0"/>
      <w:marRight w:val="0"/>
      <w:marTop w:val="0"/>
      <w:marBottom w:val="0"/>
      <w:divBdr>
        <w:top w:val="none" w:sz="0" w:space="0" w:color="auto"/>
        <w:left w:val="none" w:sz="0" w:space="0" w:color="auto"/>
        <w:bottom w:val="none" w:sz="0" w:space="0" w:color="auto"/>
        <w:right w:val="none" w:sz="0" w:space="0" w:color="auto"/>
      </w:divBdr>
    </w:div>
    <w:div w:id="1505054442">
      <w:bodyDiv w:val="1"/>
      <w:marLeft w:val="0"/>
      <w:marRight w:val="0"/>
      <w:marTop w:val="0"/>
      <w:marBottom w:val="0"/>
      <w:divBdr>
        <w:top w:val="none" w:sz="0" w:space="0" w:color="auto"/>
        <w:left w:val="none" w:sz="0" w:space="0" w:color="auto"/>
        <w:bottom w:val="none" w:sz="0" w:space="0" w:color="auto"/>
        <w:right w:val="none" w:sz="0" w:space="0" w:color="auto"/>
      </w:divBdr>
    </w:div>
    <w:div w:id="1554537980">
      <w:bodyDiv w:val="1"/>
      <w:marLeft w:val="0"/>
      <w:marRight w:val="0"/>
      <w:marTop w:val="0"/>
      <w:marBottom w:val="0"/>
      <w:divBdr>
        <w:top w:val="none" w:sz="0" w:space="0" w:color="auto"/>
        <w:left w:val="none" w:sz="0" w:space="0" w:color="auto"/>
        <w:bottom w:val="none" w:sz="0" w:space="0" w:color="auto"/>
        <w:right w:val="none" w:sz="0" w:space="0" w:color="auto"/>
      </w:divBdr>
    </w:div>
    <w:div w:id="1662007191">
      <w:bodyDiv w:val="1"/>
      <w:marLeft w:val="0"/>
      <w:marRight w:val="0"/>
      <w:marTop w:val="0"/>
      <w:marBottom w:val="0"/>
      <w:divBdr>
        <w:top w:val="none" w:sz="0" w:space="0" w:color="auto"/>
        <w:left w:val="none" w:sz="0" w:space="0" w:color="auto"/>
        <w:bottom w:val="none" w:sz="0" w:space="0" w:color="auto"/>
        <w:right w:val="none" w:sz="0" w:space="0" w:color="auto"/>
      </w:divBdr>
      <w:divsChild>
        <w:div w:id="904993633">
          <w:marLeft w:val="0"/>
          <w:marRight w:val="0"/>
          <w:marTop w:val="0"/>
          <w:marBottom w:val="0"/>
          <w:divBdr>
            <w:top w:val="none" w:sz="0" w:space="0" w:color="auto"/>
            <w:left w:val="none" w:sz="0" w:space="0" w:color="auto"/>
            <w:bottom w:val="none" w:sz="0" w:space="0" w:color="auto"/>
            <w:right w:val="none" w:sz="0" w:space="0" w:color="auto"/>
          </w:divBdr>
          <w:divsChild>
            <w:div w:id="814833869">
              <w:marLeft w:val="0"/>
              <w:marRight w:val="0"/>
              <w:marTop w:val="0"/>
              <w:marBottom w:val="0"/>
              <w:divBdr>
                <w:top w:val="none" w:sz="0" w:space="0" w:color="auto"/>
                <w:left w:val="none" w:sz="0" w:space="0" w:color="auto"/>
                <w:bottom w:val="none" w:sz="0" w:space="0" w:color="auto"/>
                <w:right w:val="none" w:sz="0" w:space="0" w:color="auto"/>
              </w:divBdr>
              <w:divsChild>
                <w:div w:id="88128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930174">
      <w:bodyDiv w:val="1"/>
      <w:marLeft w:val="0"/>
      <w:marRight w:val="0"/>
      <w:marTop w:val="0"/>
      <w:marBottom w:val="0"/>
      <w:divBdr>
        <w:top w:val="none" w:sz="0" w:space="0" w:color="auto"/>
        <w:left w:val="none" w:sz="0" w:space="0" w:color="auto"/>
        <w:bottom w:val="none" w:sz="0" w:space="0" w:color="auto"/>
        <w:right w:val="none" w:sz="0" w:space="0" w:color="auto"/>
      </w:divBdr>
    </w:div>
    <w:div w:id="2032604043">
      <w:bodyDiv w:val="1"/>
      <w:marLeft w:val="0"/>
      <w:marRight w:val="0"/>
      <w:marTop w:val="0"/>
      <w:marBottom w:val="0"/>
      <w:divBdr>
        <w:top w:val="none" w:sz="0" w:space="0" w:color="auto"/>
        <w:left w:val="none" w:sz="0" w:space="0" w:color="auto"/>
        <w:bottom w:val="none" w:sz="0" w:space="0" w:color="auto"/>
        <w:right w:val="none" w:sz="0" w:space="0" w:color="auto"/>
      </w:divBdr>
    </w:div>
    <w:div w:id="2050957491">
      <w:bodyDiv w:val="1"/>
      <w:marLeft w:val="0"/>
      <w:marRight w:val="0"/>
      <w:marTop w:val="0"/>
      <w:marBottom w:val="0"/>
      <w:divBdr>
        <w:top w:val="none" w:sz="0" w:space="0" w:color="auto"/>
        <w:left w:val="none" w:sz="0" w:space="0" w:color="auto"/>
        <w:bottom w:val="none" w:sz="0" w:space="0" w:color="auto"/>
        <w:right w:val="none" w:sz="0" w:space="0" w:color="auto"/>
      </w:divBdr>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 w:id="2114277859">
      <w:bodyDiv w:val="1"/>
      <w:marLeft w:val="0"/>
      <w:marRight w:val="0"/>
      <w:marTop w:val="0"/>
      <w:marBottom w:val="0"/>
      <w:divBdr>
        <w:top w:val="none" w:sz="0" w:space="0" w:color="auto"/>
        <w:left w:val="none" w:sz="0" w:space="0" w:color="auto"/>
        <w:bottom w:val="none" w:sz="0" w:space="0" w:color="auto"/>
        <w:right w:val="none" w:sz="0" w:space="0" w:color="auto"/>
      </w:divBdr>
    </w:div>
    <w:div w:id="211609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D00FE1C956BA45BF0DCD7E4E5F6184" ma:contentTypeVersion="0" ma:contentTypeDescription="Create a new document." ma:contentTypeScope="" ma:versionID="e28042f44dbb528eb8800456998bbc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CC3B3-02FF-4F5B-872C-FA28594A4F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861AE7B-BE43-4F14-A8EF-EB39D977A940}">
  <ds:schemaRef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D39A68D0-5C38-4AD6-A2DF-6E01D838E975}">
  <ds:schemaRefs>
    <ds:schemaRef ds:uri="http://schemas.microsoft.com/sharepoint/v3/contenttype/forms"/>
  </ds:schemaRefs>
</ds:datastoreItem>
</file>

<file path=customXml/itemProps4.xml><?xml version="1.0" encoding="utf-8"?>
<ds:datastoreItem xmlns:ds="http://schemas.openxmlformats.org/officeDocument/2006/customXml" ds:itemID="{FBE57003-C2EF-4C5B-874C-CEF5390EA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3220BED</Template>
  <TotalTime>49</TotalTime>
  <Pages>22</Pages>
  <Words>8716</Words>
  <Characters>52357</Characters>
  <Application>Microsoft Office Word</Application>
  <DocSecurity>0</DocSecurity>
  <Lines>436</Lines>
  <Paragraphs>121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Algemene Aanwijzingen</vt:lpstr>
      <vt:lpstr>Algemene Aanwijzingen</vt:lpstr>
    </vt:vector>
  </TitlesOfParts>
  <Company>Ministerie van Buitenlandse Zaken</Company>
  <LinksUpToDate>false</LinksUpToDate>
  <CharactersWithSpaces>60952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Aanwijzingen</dc:title>
  <dc:subject/>
  <dc:creator>Han Huiskamp</dc:creator>
  <cp:keywords/>
  <cp:lastModifiedBy>Straaten, Frans van der</cp:lastModifiedBy>
  <cp:revision>8</cp:revision>
  <cp:lastPrinted>2017-06-09T08:51:00Z</cp:lastPrinted>
  <dcterms:created xsi:type="dcterms:W3CDTF">2017-08-09T15:08:00Z</dcterms:created>
  <dcterms:modified xsi:type="dcterms:W3CDTF">2017-08-25T14:45:00Z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0x01010088D00FE1C956BA45BF0DCD7E4E5F6184</vt:lpwstr>
  </property>
</Properties>
</file>